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39A21" w14:textId="77777777" w:rsidR="00060E59" w:rsidRDefault="00060E59">
      <w:pPr>
        <w:autoSpaceDE w:val="0"/>
        <w:autoSpaceDN w:val="0"/>
        <w:adjustRightInd w:val="0"/>
        <w:spacing w:line="360" w:lineRule="auto"/>
        <w:jc w:val="center"/>
        <w:rPr>
          <w:rFonts w:ascii="Times New Roman" w:eastAsia="宋体" w:hAnsi="Times New Roman"/>
          <w:b/>
          <w:bCs/>
          <w:sz w:val="72"/>
          <w:szCs w:val="72"/>
        </w:rPr>
      </w:pPr>
      <w:bookmarkStart w:id="0" w:name="_GoBack"/>
      <w:bookmarkEnd w:id="0"/>
    </w:p>
    <w:p w14:paraId="5858C8CD" w14:textId="77777777" w:rsidR="00060E59" w:rsidRDefault="00060E59">
      <w:pPr>
        <w:autoSpaceDE w:val="0"/>
        <w:autoSpaceDN w:val="0"/>
        <w:adjustRightInd w:val="0"/>
        <w:spacing w:line="360" w:lineRule="auto"/>
        <w:jc w:val="center"/>
        <w:rPr>
          <w:rFonts w:ascii="Times New Roman" w:eastAsia="宋体" w:hAnsi="Times New Roman"/>
          <w:b/>
          <w:bCs/>
          <w:sz w:val="72"/>
          <w:szCs w:val="72"/>
        </w:rPr>
      </w:pPr>
    </w:p>
    <w:p w14:paraId="240FDB10" w14:textId="77777777" w:rsidR="00060E59" w:rsidRDefault="00060E59">
      <w:pPr>
        <w:autoSpaceDE w:val="0"/>
        <w:autoSpaceDN w:val="0"/>
        <w:adjustRightInd w:val="0"/>
        <w:spacing w:line="360" w:lineRule="auto"/>
        <w:jc w:val="center"/>
        <w:rPr>
          <w:rFonts w:ascii="Times New Roman" w:eastAsia="宋体" w:hAnsi="Times New Roman"/>
          <w:b/>
          <w:bCs/>
          <w:sz w:val="72"/>
          <w:szCs w:val="72"/>
        </w:rPr>
      </w:pPr>
    </w:p>
    <w:p w14:paraId="6BEFAC0E" w14:textId="77777777" w:rsidR="00060E59" w:rsidRDefault="00060E59">
      <w:pPr>
        <w:autoSpaceDE w:val="0"/>
        <w:autoSpaceDN w:val="0"/>
        <w:adjustRightInd w:val="0"/>
        <w:spacing w:line="360" w:lineRule="auto"/>
        <w:jc w:val="center"/>
        <w:rPr>
          <w:rFonts w:ascii="Times New Roman" w:eastAsia="宋体" w:hAnsi="Times New Roman"/>
          <w:b/>
          <w:bCs/>
          <w:sz w:val="72"/>
          <w:szCs w:val="72"/>
        </w:rPr>
      </w:pPr>
    </w:p>
    <w:p w14:paraId="14EF3E6A" w14:textId="13A1E3CC" w:rsidR="00060E59" w:rsidRDefault="00682037">
      <w:pPr>
        <w:autoSpaceDE w:val="0"/>
        <w:autoSpaceDN w:val="0"/>
        <w:adjustRightInd w:val="0"/>
        <w:spacing w:line="360" w:lineRule="auto"/>
        <w:jc w:val="center"/>
        <w:rPr>
          <w:rFonts w:ascii="Times New Roman" w:eastAsia="宋体" w:hAnsi="Times New Roman"/>
          <w:b/>
          <w:bCs/>
          <w:sz w:val="72"/>
          <w:szCs w:val="72"/>
        </w:rPr>
      </w:pPr>
      <w:r>
        <w:rPr>
          <w:rFonts w:ascii="Times New Roman" w:eastAsia="宋体" w:hAnsi="Times New Roman" w:hint="eastAsia"/>
          <w:b/>
          <w:bCs/>
          <w:sz w:val="72"/>
          <w:szCs w:val="72"/>
        </w:rPr>
        <w:t>S</w:t>
      </w:r>
      <w:r>
        <w:rPr>
          <w:rFonts w:ascii="Times New Roman" w:eastAsia="宋体" w:hAnsi="Times New Roman"/>
          <w:b/>
          <w:bCs/>
          <w:sz w:val="72"/>
          <w:szCs w:val="72"/>
        </w:rPr>
        <w:t>upplementa</w:t>
      </w:r>
      <w:r>
        <w:rPr>
          <w:rFonts w:ascii="Times New Roman" w:eastAsia="宋体" w:hAnsi="Times New Roman" w:hint="eastAsia"/>
          <w:b/>
          <w:bCs/>
          <w:sz w:val="72"/>
          <w:szCs w:val="72"/>
        </w:rPr>
        <w:t>ry</w:t>
      </w:r>
      <w:r>
        <w:rPr>
          <w:rFonts w:ascii="Times New Roman" w:eastAsia="宋体" w:hAnsi="Times New Roman"/>
          <w:b/>
          <w:bCs/>
          <w:sz w:val="72"/>
          <w:szCs w:val="72"/>
        </w:rPr>
        <w:t xml:space="preserve"> </w:t>
      </w:r>
      <w:r>
        <w:rPr>
          <w:rFonts w:ascii="Times New Roman" w:eastAsia="宋体" w:hAnsi="Times New Roman" w:hint="eastAsia"/>
          <w:b/>
          <w:bCs/>
          <w:sz w:val="72"/>
          <w:szCs w:val="72"/>
        </w:rPr>
        <w:t>M</w:t>
      </w:r>
      <w:r>
        <w:rPr>
          <w:rFonts w:ascii="Times New Roman" w:eastAsia="宋体" w:hAnsi="Times New Roman"/>
          <w:b/>
          <w:bCs/>
          <w:sz w:val="72"/>
          <w:szCs w:val="72"/>
        </w:rPr>
        <w:t>aterial</w:t>
      </w:r>
      <w:r>
        <w:rPr>
          <w:rFonts w:ascii="Times New Roman" w:eastAsia="宋体" w:hAnsi="Times New Roman" w:hint="eastAsia"/>
          <w:b/>
          <w:bCs/>
          <w:sz w:val="72"/>
          <w:szCs w:val="72"/>
        </w:rPr>
        <w:t xml:space="preserve"> </w:t>
      </w:r>
      <w:r>
        <w:rPr>
          <w:rFonts w:ascii="Times New Roman" w:eastAsia="宋体" w:hAnsi="Times New Roman" w:cs="Times New Roman"/>
          <w:b/>
          <w:bCs/>
          <w:sz w:val="72"/>
          <w:szCs w:val="72"/>
        </w:rPr>
        <w:t>Ⅰ</w:t>
      </w:r>
    </w:p>
    <w:p w14:paraId="1731F305" w14:textId="77777777" w:rsidR="00060E59" w:rsidRDefault="00060E59">
      <w:pPr>
        <w:autoSpaceDE w:val="0"/>
        <w:autoSpaceDN w:val="0"/>
        <w:adjustRightInd w:val="0"/>
        <w:spacing w:line="360" w:lineRule="auto"/>
        <w:jc w:val="center"/>
        <w:rPr>
          <w:rFonts w:ascii="Times New Roman" w:eastAsia="宋体" w:hAnsi="Times New Roman"/>
          <w:b/>
          <w:bCs/>
          <w:sz w:val="72"/>
          <w:szCs w:val="72"/>
        </w:rPr>
      </w:pPr>
    </w:p>
    <w:p w14:paraId="7651E3F5" w14:textId="77777777" w:rsidR="00060E59" w:rsidRDefault="00682037">
      <w:pPr>
        <w:autoSpaceDE w:val="0"/>
        <w:autoSpaceDN w:val="0"/>
        <w:adjustRightInd w:val="0"/>
        <w:spacing w:line="360" w:lineRule="auto"/>
        <w:jc w:val="center"/>
        <w:rPr>
          <w:rFonts w:ascii="Times New Roman" w:eastAsia="宋体" w:hAnsi="Times New Roman"/>
          <w:b/>
          <w:bCs/>
          <w:sz w:val="72"/>
          <w:szCs w:val="72"/>
        </w:rPr>
      </w:pPr>
      <w:r>
        <w:rPr>
          <w:rFonts w:ascii="Times New Roman" w:eastAsia="宋体" w:hAnsi="Times New Roman" w:hint="eastAsia"/>
          <w:b/>
          <w:bCs/>
          <w:sz w:val="72"/>
          <w:szCs w:val="72"/>
        </w:rPr>
        <w:t>of</w:t>
      </w:r>
    </w:p>
    <w:p w14:paraId="5ED01DC8" w14:textId="77777777" w:rsidR="00060E59" w:rsidRDefault="00060E59">
      <w:pPr>
        <w:autoSpaceDE w:val="0"/>
        <w:autoSpaceDN w:val="0"/>
        <w:adjustRightInd w:val="0"/>
        <w:spacing w:line="360" w:lineRule="auto"/>
        <w:jc w:val="center"/>
        <w:rPr>
          <w:rFonts w:ascii="Times New Roman" w:eastAsia="宋体" w:hAnsi="Times New Roman"/>
          <w:b/>
          <w:bCs/>
          <w:sz w:val="72"/>
          <w:szCs w:val="72"/>
        </w:rPr>
      </w:pPr>
    </w:p>
    <w:p w14:paraId="075E9E29" w14:textId="77777777" w:rsidR="00060E59" w:rsidRDefault="00682037">
      <w:pPr>
        <w:autoSpaceDE w:val="0"/>
        <w:autoSpaceDN w:val="0"/>
        <w:adjustRightInd w:val="0"/>
        <w:spacing w:line="360" w:lineRule="auto"/>
        <w:jc w:val="center"/>
        <w:rPr>
          <w:rFonts w:ascii="Times New Roman" w:eastAsia="宋体" w:hAnsi="Times New Roman"/>
          <w:b/>
          <w:bCs/>
          <w:i/>
          <w:iCs/>
          <w:sz w:val="52"/>
          <w:szCs w:val="52"/>
        </w:rPr>
      </w:pPr>
      <w:r>
        <w:rPr>
          <w:rFonts w:ascii="Times New Roman" w:eastAsia="宋体" w:hAnsi="Times New Roman"/>
          <w:b/>
          <w:bCs/>
          <w:i/>
          <w:iCs/>
          <w:sz w:val="52"/>
          <w:szCs w:val="52"/>
        </w:rPr>
        <w:t xml:space="preserve">Development of mathematical models Evaluating Presence of coronary calcification Independent of Computed Tomography (DEPICT): Radiation-free </w:t>
      </w:r>
      <w:r>
        <w:rPr>
          <w:rFonts w:ascii="Times New Roman" w:eastAsia="宋体" w:hAnsi="Times New Roman" w:hint="eastAsia"/>
          <w:b/>
          <w:bCs/>
          <w:i/>
          <w:iCs/>
          <w:sz w:val="52"/>
          <w:szCs w:val="52"/>
        </w:rPr>
        <w:t>evaluation</w:t>
      </w:r>
      <w:r>
        <w:rPr>
          <w:rFonts w:ascii="Times New Roman" w:eastAsia="宋体" w:hAnsi="Times New Roman"/>
          <w:b/>
          <w:bCs/>
          <w:i/>
          <w:iCs/>
          <w:sz w:val="52"/>
          <w:szCs w:val="52"/>
        </w:rPr>
        <w:t xml:space="preserve"> of coronary atherosclerosis</w:t>
      </w:r>
    </w:p>
    <w:p w14:paraId="7D26BAA6" w14:textId="77777777" w:rsidR="00060E59" w:rsidRDefault="00682037">
      <w:pPr>
        <w:widowControl/>
        <w:jc w:val="left"/>
        <w:rPr>
          <w:rFonts w:ascii="Times New Roman" w:eastAsia="宋体" w:hAnsi="Times New Roman"/>
          <w:b/>
          <w:bCs/>
          <w:i/>
          <w:iCs/>
          <w:sz w:val="20"/>
          <w:szCs w:val="20"/>
        </w:rPr>
      </w:pPr>
      <w:r>
        <w:rPr>
          <w:rFonts w:ascii="Times New Roman" w:eastAsia="宋体" w:hAnsi="Times New Roman"/>
          <w:b/>
          <w:bCs/>
          <w:i/>
          <w:iCs/>
          <w:sz w:val="20"/>
          <w:szCs w:val="20"/>
        </w:rPr>
        <w:br w:type="page"/>
      </w:r>
    </w:p>
    <w:p w14:paraId="3EA31242" w14:textId="77777777" w:rsidR="00060E59" w:rsidRDefault="00682037">
      <w:pPr>
        <w:pStyle w:val="a9"/>
        <w:numPr>
          <w:ilvl w:val="0"/>
          <w:numId w:val="1"/>
        </w:numPr>
        <w:autoSpaceDE w:val="0"/>
        <w:autoSpaceDN w:val="0"/>
        <w:adjustRightInd w:val="0"/>
        <w:ind w:firstLineChars="0"/>
        <w:rPr>
          <w:rFonts w:ascii="Times New Roman" w:eastAsia="宋体" w:hAnsi="Times New Roman"/>
          <w:b/>
          <w:bCs/>
          <w:sz w:val="20"/>
          <w:szCs w:val="20"/>
        </w:rPr>
      </w:pPr>
      <w:r>
        <w:rPr>
          <w:rFonts w:ascii="Times New Roman" w:eastAsia="宋体" w:hAnsi="Times New Roman" w:hint="eastAsia"/>
          <w:b/>
          <w:bCs/>
          <w:sz w:val="20"/>
          <w:szCs w:val="20"/>
        </w:rPr>
        <w:lastRenderedPageBreak/>
        <w:t>Rationale of selection of predictors</w:t>
      </w:r>
    </w:p>
    <w:p w14:paraId="11004951"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 xml:space="preserve">The following paragraphs are detailed descriptions of </w:t>
      </w:r>
      <w:r>
        <w:rPr>
          <w:rFonts w:ascii="Times New Roman" w:hAnsi="Times New Roman" w:hint="eastAsia"/>
          <w:sz w:val="20"/>
          <w:szCs w:val="20"/>
        </w:rPr>
        <w:t xml:space="preserve">considerations regarding </w:t>
      </w:r>
      <w:r>
        <w:rPr>
          <w:rFonts w:ascii="Times New Roman" w:hAnsi="Times New Roman"/>
          <w:sz w:val="20"/>
          <w:szCs w:val="20"/>
        </w:rPr>
        <w:t xml:space="preserve">specification of predictors. Before we begin our </w:t>
      </w:r>
      <w:r>
        <w:rPr>
          <w:rFonts w:ascii="Times New Roman" w:hAnsi="Times New Roman" w:hint="eastAsia"/>
          <w:sz w:val="20"/>
          <w:szCs w:val="20"/>
        </w:rPr>
        <w:t>elaboration regarding</w:t>
      </w:r>
      <w:r>
        <w:rPr>
          <w:rFonts w:ascii="Times New Roman" w:hAnsi="Times New Roman"/>
          <w:sz w:val="20"/>
          <w:szCs w:val="20"/>
        </w:rPr>
        <w:t xml:space="preserve"> each variable, we would like to briefly review the complexity of vascular calcification as well as its imp</w:t>
      </w:r>
      <w:r>
        <w:rPr>
          <w:rFonts w:ascii="Times New Roman" w:hAnsi="Times New Roman"/>
          <w:sz w:val="20"/>
          <w:szCs w:val="20"/>
        </w:rPr>
        <w:t xml:space="preserve">lication on our study, with the emphasis on </w:t>
      </w:r>
      <w:r>
        <w:rPr>
          <w:rFonts w:ascii="Times New Roman" w:hAnsi="Times New Roman" w:hint="eastAsia"/>
          <w:sz w:val="20"/>
          <w:szCs w:val="20"/>
        </w:rPr>
        <w:t>coronary artery calcification (</w:t>
      </w:r>
      <w:r>
        <w:rPr>
          <w:rFonts w:ascii="Times New Roman" w:hAnsi="Times New Roman"/>
          <w:sz w:val="20"/>
          <w:szCs w:val="20"/>
        </w:rPr>
        <w:t>CAC</w:t>
      </w:r>
      <w:r>
        <w:rPr>
          <w:rFonts w:ascii="Times New Roman" w:hAnsi="Times New Roman" w:hint="eastAsia"/>
          <w:sz w:val="20"/>
          <w:szCs w:val="20"/>
        </w:rPr>
        <w:t>)</w:t>
      </w:r>
      <w:r>
        <w:rPr>
          <w:rFonts w:ascii="Times New Roman" w:hAnsi="Times New Roman"/>
          <w:sz w:val="20"/>
          <w:szCs w:val="20"/>
        </w:rPr>
        <w:t>.</w:t>
      </w:r>
    </w:p>
    <w:p w14:paraId="53096C03" w14:textId="6B46468F"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hint="eastAsia"/>
          <w:sz w:val="20"/>
          <w:szCs w:val="20"/>
        </w:rPr>
        <w:t>G</w:t>
      </w:r>
      <w:r>
        <w:rPr>
          <w:rFonts w:ascii="Times New Roman" w:hAnsi="Times New Roman"/>
          <w:sz w:val="20"/>
          <w:szCs w:val="20"/>
        </w:rPr>
        <w:t>enerally speaking, vascular calcification itself is a heterogeneous disease, with subtypes present when location is used to as the categorization rule. In this sense, the pop</w:t>
      </w:r>
      <w:r>
        <w:rPr>
          <w:rFonts w:ascii="Times New Roman" w:hAnsi="Times New Roman"/>
          <w:sz w:val="20"/>
          <w:szCs w:val="20"/>
        </w:rPr>
        <w:t>ular way of categorization of vascular calcification is intimal and medial calcification</w:t>
      </w:r>
      <w:r>
        <w:rPr>
          <w:rFonts w:ascii="Times New Roman" w:hAnsi="Times New Roman"/>
          <w:sz w:val="20"/>
          <w:szCs w:val="20"/>
        </w:rPr>
        <w:fldChar w:fldCharType="begin"/>
      </w:r>
      <w:r>
        <w:rPr>
          <w:rFonts w:ascii="Times New Roman" w:hAnsi="Times New Roman"/>
          <w:sz w:val="20"/>
          <w:szCs w:val="20"/>
        </w:rPr>
        <w:instrText xml:space="preserve"> ADDIN NE.Ref.{7791BCF0-C551-4962-B659-6172C2DE1967}</w:instrText>
      </w:r>
      <w:r>
        <w:rPr>
          <w:rFonts w:ascii="Times New Roman" w:hAnsi="Times New Roman"/>
          <w:sz w:val="20"/>
          <w:szCs w:val="20"/>
        </w:rPr>
        <w:fldChar w:fldCharType="separate"/>
      </w:r>
      <w:r>
        <w:rPr>
          <w:rFonts w:ascii="Times New Roman" w:hAnsi="Times New Roman" w:cs="Times New Roman"/>
          <w:color w:val="000000"/>
          <w:kern w:val="0"/>
          <w:sz w:val="20"/>
          <w:szCs w:val="20"/>
        </w:rPr>
        <w:t>[1]</w:t>
      </w:r>
      <w:r>
        <w:rPr>
          <w:rFonts w:ascii="Times New Roman" w:hAnsi="Times New Roman"/>
          <w:sz w:val="20"/>
          <w:szCs w:val="20"/>
        </w:rPr>
        <w:fldChar w:fldCharType="end"/>
      </w:r>
      <w:r>
        <w:rPr>
          <w:rFonts w:ascii="Times New Roman" w:hAnsi="Times New Roman"/>
          <w:sz w:val="20"/>
          <w:szCs w:val="20"/>
        </w:rPr>
        <w:t xml:space="preserve">, while some take both location and mechanism of vascular calcification into consideration and hence classify </w:t>
      </w:r>
      <w:r>
        <w:rPr>
          <w:rFonts w:ascii="Times New Roman" w:hAnsi="Times New Roman"/>
          <w:sz w:val="20"/>
          <w:szCs w:val="20"/>
        </w:rPr>
        <w:t>vascular calcification into atherosclerotic intimal calcification, medial calcification and genetic calcification</w:t>
      </w:r>
      <w:r>
        <w:rPr>
          <w:rFonts w:ascii="Times New Roman" w:hAnsi="Times New Roman"/>
          <w:sz w:val="20"/>
          <w:szCs w:val="20"/>
        </w:rPr>
        <w:fldChar w:fldCharType="begin"/>
      </w:r>
      <w:r>
        <w:rPr>
          <w:rFonts w:ascii="Times New Roman" w:hAnsi="Times New Roman"/>
          <w:sz w:val="20"/>
          <w:szCs w:val="20"/>
        </w:rPr>
        <w:instrText xml:space="preserve"> ADDIN NE.Ref.{E8DCAB4E-16B4-4D3E-BEF9-3F17208C5301}</w:instrText>
      </w:r>
      <w:r>
        <w:rPr>
          <w:rFonts w:ascii="Times New Roman" w:hAnsi="Times New Roman"/>
          <w:sz w:val="20"/>
          <w:szCs w:val="20"/>
        </w:rPr>
        <w:fldChar w:fldCharType="separate"/>
      </w:r>
      <w:r>
        <w:rPr>
          <w:rFonts w:ascii="Times New Roman" w:hAnsi="Times New Roman" w:cs="Times New Roman"/>
          <w:color w:val="000000"/>
          <w:kern w:val="0"/>
          <w:sz w:val="20"/>
          <w:szCs w:val="20"/>
        </w:rPr>
        <w:t>[1-2]</w:t>
      </w:r>
      <w:r>
        <w:rPr>
          <w:rFonts w:ascii="Times New Roman" w:hAnsi="Times New Roman"/>
          <w:sz w:val="20"/>
          <w:szCs w:val="20"/>
        </w:rPr>
        <w:fldChar w:fldCharType="end"/>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Readers might notice the similarities of the nomenclature of different subtypes o</w:t>
      </w:r>
      <w:r>
        <w:rPr>
          <w:rFonts w:ascii="Times New Roman" w:hAnsi="Times New Roman"/>
          <w:sz w:val="20"/>
          <w:szCs w:val="20"/>
        </w:rPr>
        <w:t>f calcification according to the two categorization rules and hence conjecture that intimal calcification is closely related to atherosclerosis and medial calcification is not. That is indeed the case. Atherosclerosis is indeed closely related to intimal c</w:t>
      </w:r>
      <w:r>
        <w:rPr>
          <w:rFonts w:ascii="Times New Roman" w:hAnsi="Times New Roman"/>
          <w:sz w:val="20"/>
          <w:szCs w:val="20"/>
        </w:rPr>
        <w:t xml:space="preserve">alcification, with inflammatory mediators playing important roles in this process. On the other hand, medial calcification may be associated with chronic kidney disease or genetic disorders like </w:t>
      </w:r>
      <w:proofErr w:type="spellStart"/>
      <w:r>
        <w:rPr>
          <w:rFonts w:ascii="Times New Roman" w:hAnsi="Times New Roman"/>
          <w:sz w:val="20"/>
          <w:szCs w:val="20"/>
        </w:rPr>
        <w:t>Marfan</w:t>
      </w:r>
      <w:proofErr w:type="spellEnd"/>
      <w:r>
        <w:rPr>
          <w:rFonts w:ascii="Times New Roman" w:hAnsi="Times New Roman"/>
          <w:sz w:val="20"/>
          <w:szCs w:val="20"/>
        </w:rPr>
        <w:t xml:space="preserve"> syndrome, with metabolic factors (e.g. phosphate, urem</w:t>
      </w:r>
      <w:r>
        <w:rPr>
          <w:rFonts w:ascii="Times New Roman" w:hAnsi="Times New Roman"/>
          <w:sz w:val="20"/>
          <w:szCs w:val="20"/>
        </w:rPr>
        <w:t xml:space="preserve">ic toxins, glucose) mediating the calcification process in the former circumstance and genetic factors (defects in various genes like </w:t>
      </w:r>
      <w:r>
        <w:rPr>
          <w:rFonts w:ascii="Times New Roman" w:hAnsi="Times New Roman"/>
          <w:i/>
          <w:iCs/>
          <w:sz w:val="20"/>
          <w:szCs w:val="20"/>
        </w:rPr>
        <w:t>OPG</w:t>
      </w:r>
      <w:r>
        <w:rPr>
          <w:rFonts w:ascii="Times New Roman" w:hAnsi="Times New Roman"/>
          <w:sz w:val="20"/>
          <w:szCs w:val="20"/>
        </w:rPr>
        <w:t>) mediating the process in the latter circumstance</w:t>
      </w:r>
      <w:r>
        <w:rPr>
          <w:rFonts w:ascii="Times New Roman" w:hAnsi="Times New Roman"/>
          <w:sz w:val="20"/>
          <w:szCs w:val="20"/>
        </w:rPr>
        <w:fldChar w:fldCharType="begin"/>
      </w:r>
      <w:r>
        <w:rPr>
          <w:rFonts w:ascii="Times New Roman" w:hAnsi="Times New Roman"/>
          <w:sz w:val="20"/>
          <w:szCs w:val="20"/>
        </w:rPr>
        <w:instrText xml:space="preserve"> ADDIN NE.Ref.{5A0C9ECF-3180-48B7-AD39-8CAE5F1B58C5}</w:instrText>
      </w:r>
      <w:r>
        <w:rPr>
          <w:rFonts w:ascii="Times New Roman" w:hAnsi="Times New Roman"/>
          <w:sz w:val="20"/>
          <w:szCs w:val="20"/>
        </w:rPr>
        <w:fldChar w:fldCharType="separate"/>
      </w:r>
      <w:r>
        <w:rPr>
          <w:rFonts w:ascii="Times New Roman" w:hAnsi="Times New Roman" w:cs="Times New Roman"/>
          <w:color w:val="000000"/>
          <w:kern w:val="0"/>
          <w:sz w:val="20"/>
          <w:szCs w:val="20"/>
        </w:rPr>
        <w:t>[1]</w:t>
      </w:r>
      <w:r>
        <w:rPr>
          <w:rFonts w:ascii="Times New Roman" w:hAnsi="Times New Roman"/>
          <w:sz w:val="20"/>
          <w:szCs w:val="20"/>
        </w:rPr>
        <w:fldChar w:fldCharType="end"/>
      </w:r>
      <w:r>
        <w:rPr>
          <w:rFonts w:ascii="Times New Roman" w:hAnsi="Times New Roman"/>
          <w:sz w:val="20"/>
          <w:szCs w:val="20"/>
        </w:rPr>
        <w:t>. What comp</w:t>
      </w:r>
      <w:r>
        <w:rPr>
          <w:rFonts w:ascii="Times New Roman" w:hAnsi="Times New Roman"/>
          <w:sz w:val="20"/>
          <w:szCs w:val="20"/>
        </w:rPr>
        <w:t xml:space="preserve">licates the situation in real-world clinical settings is that risk factors for both intimal and medial calcification may coexist and exert influences reciprocally, </w:t>
      </w:r>
      <w:r>
        <w:rPr>
          <w:rFonts w:ascii="Times New Roman" w:hAnsi="Times New Roman"/>
          <w:sz w:val="20"/>
          <w:szCs w:val="20"/>
        </w:rPr>
        <w:t xml:space="preserve">making </w:t>
      </w:r>
      <w:r>
        <w:rPr>
          <w:rFonts w:ascii="Times New Roman" w:hAnsi="Times New Roman" w:hint="eastAsia"/>
          <w:sz w:val="20"/>
          <w:szCs w:val="20"/>
        </w:rPr>
        <w:t>it</w:t>
      </w:r>
      <w:r>
        <w:rPr>
          <w:rFonts w:ascii="Times New Roman" w:hAnsi="Times New Roman"/>
          <w:sz w:val="20"/>
          <w:szCs w:val="20"/>
        </w:rPr>
        <w:t xml:space="preserve"> possible </w:t>
      </w:r>
      <w:r>
        <w:rPr>
          <w:rFonts w:ascii="Times New Roman" w:hAnsi="Times New Roman" w:hint="eastAsia"/>
          <w:sz w:val="20"/>
          <w:szCs w:val="20"/>
        </w:rPr>
        <w:t xml:space="preserve">for the </w:t>
      </w:r>
      <w:r>
        <w:rPr>
          <w:rFonts w:ascii="Times New Roman" w:hAnsi="Times New Roman"/>
          <w:sz w:val="20"/>
          <w:szCs w:val="20"/>
        </w:rPr>
        <w:t>existence of paradoxes between a priori deduction of the possible subtype of vascular calcification and what we actually observe in real world. Readers will see examples of the paradoxes we me</w:t>
      </w:r>
      <w:r>
        <w:rPr>
          <w:rFonts w:ascii="Times New Roman" w:hAnsi="Times New Roman"/>
          <w:sz w:val="20"/>
          <w:szCs w:val="20"/>
        </w:rPr>
        <w:t>ntion here in the following paragraphs.</w:t>
      </w:r>
    </w:p>
    <w:p w14:paraId="2B8182C9" w14:textId="12BFAF5B"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 xml:space="preserve">Features of imaging modalities complicate our variable selection process. Despite the coexistence of both intimal and medial calcification in coronary arteries, calcification ascertained by computed tomography (CT) </w:t>
      </w:r>
      <w:r>
        <w:rPr>
          <w:rFonts w:ascii="Times New Roman" w:hAnsi="Times New Roman"/>
          <w:sz w:val="20"/>
          <w:szCs w:val="20"/>
        </w:rPr>
        <w:t>is in general intimal calcification, with research demonstrating the ability of electron beam CT to detect small intimal calcium deposits that correlate with early atherosclerosis when no luminal narrowing was observed</w:t>
      </w:r>
      <w:r>
        <w:rPr>
          <w:rFonts w:ascii="Times New Roman" w:hAnsi="Times New Roman"/>
          <w:sz w:val="20"/>
          <w:szCs w:val="20"/>
        </w:rPr>
        <w:fldChar w:fldCharType="begin"/>
      </w:r>
      <w:r>
        <w:rPr>
          <w:rFonts w:ascii="Times New Roman" w:hAnsi="Times New Roman"/>
          <w:sz w:val="20"/>
          <w:szCs w:val="20"/>
        </w:rPr>
        <w:instrText xml:space="preserve"> ADDIN NE.Ref.{C590FCF9-6E97-4DD1-B27C</w:instrText>
      </w:r>
      <w:r>
        <w:rPr>
          <w:rFonts w:ascii="Times New Roman" w:hAnsi="Times New Roman"/>
          <w:sz w:val="20"/>
          <w:szCs w:val="20"/>
        </w:rPr>
        <w:instrText>-0C35445AB35E}</w:instrText>
      </w:r>
      <w:r>
        <w:rPr>
          <w:rFonts w:ascii="Times New Roman" w:hAnsi="Times New Roman"/>
          <w:sz w:val="20"/>
          <w:szCs w:val="20"/>
        </w:rPr>
        <w:fldChar w:fldCharType="separate"/>
      </w:r>
      <w:r>
        <w:rPr>
          <w:rFonts w:ascii="Times New Roman" w:hAnsi="Times New Roman" w:cs="Times New Roman"/>
          <w:color w:val="000000"/>
          <w:kern w:val="0"/>
          <w:sz w:val="20"/>
          <w:szCs w:val="20"/>
        </w:rPr>
        <w:t>[3]</w:t>
      </w:r>
      <w:r>
        <w:rPr>
          <w:rFonts w:ascii="Times New Roman" w:hAnsi="Times New Roman"/>
          <w:sz w:val="20"/>
          <w:szCs w:val="20"/>
        </w:rPr>
        <w:fldChar w:fldCharType="end"/>
      </w:r>
      <w:r>
        <w:rPr>
          <w:rFonts w:ascii="Times New Roman" w:hAnsi="Times New Roman"/>
          <w:sz w:val="20"/>
          <w:szCs w:val="20"/>
        </w:rPr>
        <w:t>. Coronary calcium detected upon CT has therefore been regarded as a marker of coronary atherosclerosis</w:t>
      </w:r>
      <w:r>
        <w:rPr>
          <w:rFonts w:ascii="Times New Roman" w:hAnsi="Times New Roman"/>
          <w:sz w:val="20"/>
          <w:szCs w:val="20"/>
        </w:rPr>
        <w:fldChar w:fldCharType="begin"/>
      </w:r>
      <w:r>
        <w:rPr>
          <w:rFonts w:ascii="Times New Roman" w:hAnsi="Times New Roman"/>
          <w:sz w:val="20"/>
          <w:szCs w:val="20"/>
        </w:rPr>
        <w:instrText xml:space="preserve"> ADDIN NE.Ref.{B0A5DF57-A136-481F-83C3-925EBB378074}</w:instrText>
      </w:r>
      <w:r>
        <w:rPr>
          <w:rFonts w:ascii="Times New Roman" w:hAnsi="Times New Roman"/>
          <w:sz w:val="20"/>
          <w:szCs w:val="20"/>
        </w:rPr>
        <w:fldChar w:fldCharType="separate"/>
      </w:r>
      <w:r>
        <w:rPr>
          <w:rFonts w:ascii="Times New Roman" w:hAnsi="Times New Roman" w:cs="Times New Roman"/>
          <w:color w:val="000000"/>
          <w:kern w:val="0"/>
          <w:sz w:val="20"/>
          <w:szCs w:val="20"/>
        </w:rPr>
        <w:t>[1]</w:t>
      </w:r>
      <w:r>
        <w:rPr>
          <w:rFonts w:ascii="Times New Roman" w:hAnsi="Times New Roman"/>
          <w:sz w:val="20"/>
          <w:szCs w:val="20"/>
        </w:rPr>
        <w:fldChar w:fldCharType="end"/>
      </w:r>
      <w:r>
        <w:rPr>
          <w:rFonts w:ascii="Times New Roman" w:hAnsi="Times New Roman"/>
          <w:sz w:val="20"/>
          <w:szCs w:val="20"/>
        </w:rPr>
        <w:t xml:space="preserve">. But by no means that this can be translated as the risk factors </w:t>
      </w:r>
      <w:r>
        <w:rPr>
          <w:rFonts w:ascii="Times New Roman" w:hAnsi="Times New Roman" w:hint="eastAsia"/>
          <w:sz w:val="20"/>
          <w:szCs w:val="20"/>
        </w:rPr>
        <w:t>for media</w:t>
      </w:r>
      <w:r>
        <w:rPr>
          <w:rFonts w:ascii="Times New Roman" w:hAnsi="Times New Roman" w:hint="eastAsia"/>
          <w:sz w:val="20"/>
          <w:szCs w:val="20"/>
        </w:rPr>
        <w:t xml:space="preserve">l calcification </w:t>
      </w:r>
      <w:r>
        <w:rPr>
          <w:rFonts w:ascii="Times New Roman" w:hAnsi="Times New Roman"/>
          <w:sz w:val="20"/>
          <w:szCs w:val="20"/>
        </w:rPr>
        <w:t xml:space="preserve">are </w:t>
      </w:r>
      <w:r>
        <w:rPr>
          <w:rFonts w:ascii="Times New Roman" w:hAnsi="Times New Roman" w:hint="eastAsia"/>
          <w:sz w:val="20"/>
          <w:szCs w:val="20"/>
        </w:rPr>
        <w:t>of</w:t>
      </w:r>
      <w:r>
        <w:rPr>
          <w:rFonts w:ascii="Times New Roman" w:hAnsi="Times New Roman"/>
          <w:sz w:val="20"/>
          <w:szCs w:val="20"/>
        </w:rPr>
        <w:t xml:space="preserve"> </w:t>
      </w:r>
      <w:r>
        <w:rPr>
          <w:rFonts w:ascii="Times New Roman" w:hAnsi="Times New Roman"/>
          <w:sz w:val="20"/>
          <w:szCs w:val="20"/>
        </w:rPr>
        <w:t>significan</w:t>
      </w:r>
      <w:r>
        <w:rPr>
          <w:rFonts w:ascii="Times New Roman" w:hAnsi="Times New Roman" w:hint="eastAsia"/>
          <w:sz w:val="20"/>
          <w:szCs w:val="20"/>
        </w:rPr>
        <w:t>ce</w:t>
      </w:r>
      <w:r>
        <w:rPr>
          <w:rFonts w:ascii="Times New Roman" w:hAnsi="Times New Roman"/>
          <w:sz w:val="20"/>
          <w:szCs w:val="20"/>
        </w:rPr>
        <w:t xml:space="preserve"> </w:t>
      </w:r>
      <w:r>
        <w:rPr>
          <w:rFonts w:ascii="Times New Roman" w:hAnsi="Times New Roman"/>
          <w:sz w:val="20"/>
          <w:szCs w:val="20"/>
        </w:rPr>
        <w:t xml:space="preserve">and </w:t>
      </w:r>
      <w:r>
        <w:rPr>
          <w:rFonts w:ascii="Times New Roman" w:hAnsi="Times New Roman"/>
          <w:sz w:val="20"/>
          <w:szCs w:val="20"/>
        </w:rPr>
        <w:t xml:space="preserve">should </w:t>
      </w:r>
      <w:r>
        <w:rPr>
          <w:rFonts w:ascii="Times New Roman" w:hAnsi="Times New Roman"/>
          <w:sz w:val="20"/>
          <w:szCs w:val="20"/>
        </w:rPr>
        <w:t xml:space="preserve">therefore </w:t>
      </w:r>
      <w:r>
        <w:rPr>
          <w:rFonts w:ascii="Times New Roman" w:hAnsi="Times New Roman"/>
          <w:sz w:val="20"/>
          <w:szCs w:val="20"/>
        </w:rPr>
        <w:t xml:space="preserve">not </w:t>
      </w:r>
      <w:r>
        <w:rPr>
          <w:rFonts w:ascii="Times New Roman" w:hAnsi="Times New Roman" w:hint="eastAsia"/>
          <w:sz w:val="20"/>
          <w:szCs w:val="20"/>
        </w:rPr>
        <w:t xml:space="preserve">had </w:t>
      </w:r>
      <w:r>
        <w:rPr>
          <w:rFonts w:ascii="Times New Roman" w:hAnsi="Times New Roman"/>
          <w:sz w:val="20"/>
          <w:szCs w:val="20"/>
        </w:rPr>
        <w:t>be</w:t>
      </w:r>
      <w:r>
        <w:rPr>
          <w:rFonts w:ascii="Times New Roman" w:hAnsi="Times New Roman" w:hint="eastAsia"/>
          <w:sz w:val="20"/>
          <w:szCs w:val="20"/>
        </w:rPr>
        <w:t>en</w:t>
      </w:r>
      <w:r>
        <w:rPr>
          <w:rFonts w:ascii="Times New Roman" w:hAnsi="Times New Roman"/>
          <w:sz w:val="20"/>
          <w:szCs w:val="20"/>
        </w:rPr>
        <w:t xml:space="preserve"> included in </w:t>
      </w:r>
      <w:r>
        <w:rPr>
          <w:rFonts w:ascii="Times New Roman" w:hAnsi="Times New Roman" w:hint="eastAsia"/>
          <w:sz w:val="20"/>
          <w:szCs w:val="20"/>
        </w:rPr>
        <w:t>the</w:t>
      </w:r>
      <w:r>
        <w:rPr>
          <w:rFonts w:ascii="Times New Roman" w:hAnsi="Times New Roman"/>
          <w:sz w:val="20"/>
          <w:szCs w:val="20"/>
        </w:rPr>
        <w:t xml:space="preserve"> model</w:t>
      </w:r>
      <w:r>
        <w:rPr>
          <w:rFonts w:ascii="Times New Roman" w:hAnsi="Times New Roman" w:hint="eastAsia"/>
          <w:sz w:val="20"/>
          <w:szCs w:val="20"/>
        </w:rPr>
        <w:t>s</w:t>
      </w:r>
      <w:r>
        <w:rPr>
          <w:rFonts w:ascii="Times New Roman" w:hAnsi="Times New Roman"/>
          <w:sz w:val="20"/>
          <w:szCs w:val="20"/>
        </w:rPr>
        <w:t>. We will give examples on this in our later discussions.</w:t>
      </w:r>
    </w:p>
    <w:p w14:paraId="22832EBD" w14:textId="5EB6E8DC" w:rsidR="00060E59" w:rsidRDefault="00682037">
      <w:pPr>
        <w:autoSpaceDE w:val="0"/>
        <w:autoSpaceDN w:val="0"/>
        <w:adjustRightInd w:val="0"/>
        <w:ind w:firstLineChars="200" w:firstLine="400"/>
        <w:rPr>
          <w:rFonts w:ascii="Times New Roman" w:eastAsia="宋体" w:hAnsi="Times New Roman" w:cs="Times New Roman"/>
          <w:sz w:val="20"/>
          <w:szCs w:val="20"/>
        </w:rPr>
      </w:pPr>
      <w:r>
        <w:rPr>
          <w:rFonts w:ascii="Times New Roman" w:hAnsi="Times New Roman"/>
          <w:sz w:val="20"/>
          <w:szCs w:val="20"/>
        </w:rPr>
        <w:t>Despite the inherent heterogeneities between the two subtypes o</w:t>
      </w:r>
      <w:r>
        <w:rPr>
          <w:rFonts w:ascii="Times New Roman" w:hAnsi="Times New Roman"/>
          <w:sz w:val="20"/>
          <w:szCs w:val="20"/>
        </w:rPr>
        <w:t>f vascular calcification, clinically popular and routinely performed imaging modalities like CT are not capable of quantify the two kinds of vascular calcifications via means like separating CACS into intimal CACS and medial CACS. Nevertheless, as is cited</w:t>
      </w:r>
      <w:r>
        <w:rPr>
          <w:rFonts w:ascii="Times New Roman" w:hAnsi="Times New Roman"/>
          <w:sz w:val="20"/>
          <w:szCs w:val="20"/>
        </w:rPr>
        <w:t xml:space="preserve"> above, a gross assessment of coronary calcification via CACS is capable of identifying those with higher risks and those who receive more benefit from statin therapy, both in a quantitative (exact number of CACS or the group a patient belongs to following</w:t>
      </w:r>
      <w:r>
        <w:rPr>
          <w:rFonts w:ascii="Times New Roman" w:hAnsi="Times New Roman"/>
          <w:sz w:val="20"/>
          <w:szCs w:val="20"/>
        </w:rPr>
        <w:t xml:space="preserve"> grouping of patients’ CACS by doctors) and qualitative (CACS=0 or CACS&gt;0) manner. All in all, the inherent heterogeneities of different subtypes of vascular calcification have no impact on the clinical utility of CACS and the necessity of correctly distin</w:t>
      </w:r>
      <w:r>
        <w:rPr>
          <w:rFonts w:ascii="Times New Roman" w:hAnsi="Times New Roman"/>
          <w:sz w:val="20"/>
          <w:szCs w:val="20"/>
        </w:rPr>
        <w:t xml:space="preserve">guishing patients whose CACS=0 and those CACS is larger than 0. What has been </w:t>
      </w:r>
      <w:r>
        <w:rPr>
          <w:rFonts w:ascii="Times New Roman" w:hAnsi="Times New Roman" w:hint="eastAsia"/>
          <w:sz w:val="20"/>
          <w:szCs w:val="20"/>
        </w:rPr>
        <w:t>of concern</w:t>
      </w:r>
      <w:r>
        <w:rPr>
          <w:rFonts w:ascii="Times New Roman" w:hAnsi="Times New Roman"/>
          <w:sz w:val="20"/>
          <w:szCs w:val="20"/>
        </w:rPr>
        <w:t xml:space="preserve"> in the variable selection process before statistical variable selection is that despite the close associations between atherosclerosis and vascular calcification, resu</w:t>
      </w:r>
      <w:r>
        <w:rPr>
          <w:rFonts w:ascii="Times New Roman" w:hAnsi="Times New Roman"/>
          <w:sz w:val="20"/>
          <w:szCs w:val="20"/>
        </w:rPr>
        <w:t>lts of studies investigating the associations between some acknowledged risk factors of atherosclerosis and vascular calcification are not always consistent</w:t>
      </w:r>
      <w:r>
        <w:rPr>
          <w:rFonts w:ascii="Times New Roman" w:hAnsi="Times New Roman"/>
          <w:sz w:val="20"/>
          <w:szCs w:val="20"/>
        </w:rPr>
        <w:t>. In additio</w:t>
      </w:r>
      <w:r>
        <w:rPr>
          <w:rFonts w:ascii="Times New Roman" w:hAnsi="Times New Roman"/>
          <w:sz w:val="20"/>
          <w:szCs w:val="20"/>
        </w:rPr>
        <w:t>n, some studies explicitly pointing out the subtype(s) of vascular calcification they analy</w:t>
      </w:r>
      <w:r>
        <w:rPr>
          <w:rFonts w:ascii="Times New Roman" w:hAnsi="Times New Roman" w:hint="eastAsia"/>
          <w:sz w:val="20"/>
          <w:szCs w:val="20"/>
        </w:rPr>
        <w:t>z</w:t>
      </w:r>
      <w:r>
        <w:rPr>
          <w:rFonts w:ascii="Times New Roman" w:hAnsi="Times New Roman"/>
          <w:sz w:val="20"/>
          <w:szCs w:val="20"/>
        </w:rPr>
        <w:t>ed while others did not.</w:t>
      </w:r>
      <w:r>
        <w:rPr>
          <w:rFonts w:ascii="Times New Roman" w:hAnsi="Times New Roman" w:hint="eastAsia"/>
          <w:sz w:val="20"/>
          <w:szCs w:val="20"/>
        </w:rPr>
        <w:t xml:space="preserve"> </w:t>
      </w:r>
      <w:r>
        <w:rPr>
          <w:rFonts w:ascii="Times New Roman" w:hAnsi="Times New Roman"/>
          <w:sz w:val="20"/>
          <w:szCs w:val="20"/>
        </w:rPr>
        <w:t xml:space="preserve">We took both results of literatures and expert opinions </w:t>
      </w:r>
      <w:r>
        <w:rPr>
          <w:rFonts w:ascii="Times New Roman" w:hAnsi="Times New Roman"/>
          <w:sz w:val="20"/>
          <w:szCs w:val="20"/>
        </w:rPr>
        <w:lastRenderedPageBreak/>
        <w:t xml:space="preserve">into consideration in the course of selection. The </w:t>
      </w:r>
      <w:r>
        <w:rPr>
          <w:rFonts w:ascii="Times New Roman" w:hAnsi="Times New Roman" w:hint="eastAsia"/>
          <w:sz w:val="20"/>
          <w:szCs w:val="20"/>
        </w:rPr>
        <w:t xml:space="preserve">candidate predictors as well as the </w:t>
      </w:r>
      <w:r>
        <w:rPr>
          <w:rFonts w:ascii="Times New Roman" w:hAnsi="Times New Roman"/>
          <w:sz w:val="20"/>
          <w:szCs w:val="20"/>
        </w:rPr>
        <w:t>reasons why the</w:t>
      </w:r>
      <w:r>
        <w:rPr>
          <w:rFonts w:ascii="Times New Roman" w:hAnsi="Times New Roman" w:hint="eastAsia"/>
          <w:sz w:val="20"/>
          <w:szCs w:val="20"/>
        </w:rPr>
        <w:t>y</w:t>
      </w:r>
      <w:r>
        <w:rPr>
          <w:rFonts w:ascii="Times New Roman" w:hAnsi="Times New Roman"/>
          <w:sz w:val="20"/>
          <w:szCs w:val="20"/>
        </w:rPr>
        <w:t xml:space="preserve"> were eventually </w:t>
      </w:r>
      <w:r>
        <w:rPr>
          <w:rFonts w:ascii="Times New Roman" w:hAnsi="Times New Roman" w:hint="eastAsia"/>
          <w:sz w:val="20"/>
          <w:szCs w:val="20"/>
        </w:rPr>
        <w:t>specifie</w:t>
      </w:r>
      <w:r>
        <w:rPr>
          <w:rFonts w:ascii="Times New Roman" w:hAnsi="Times New Roman"/>
          <w:sz w:val="20"/>
          <w:szCs w:val="20"/>
        </w:rPr>
        <w:t xml:space="preserve">d </w:t>
      </w:r>
      <w:r>
        <w:rPr>
          <w:rFonts w:ascii="Times New Roman" w:hAnsi="Times New Roman" w:hint="eastAsia"/>
          <w:sz w:val="20"/>
          <w:szCs w:val="20"/>
        </w:rPr>
        <w:t>in multivariate mode</w:t>
      </w:r>
      <w:r>
        <w:rPr>
          <w:rFonts w:ascii="Times New Roman" w:hAnsi="Times New Roman"/>
          <w:sz w:val="20"/>
          <w:szCs w:val="20"/>
        </w:rPr>
        <w:t>l</w:t>
      </w:r>
      <w:r>
        <w:rPr>
          <w:rFonts w:ascii="Times New Roman" w:hAnsi="Times New Roman" w:hint="eastAsia"/>
          <w:sz w:val="20"/>
          <w:szCs w:val="20"/>
        </w:rPr>
        <w:t xml:space="preserve">ling </w:t>
      </w:r>
      <w:r>
        <w:rPr>
          <w:rFonts w:ascii="Times New Roman" w:hAnsi="Times New Roman"/>
          <w:sz w:val="20"/>
          <w:szCs w:val="20"/>
        </w:rPr>
        <w:t>are as follows.</w:t>
      </w:r>
    </w:p>
    <w:p w14:paraId="1DA4DAB6" w14:textId="1DF4A25E"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b/>
          <w:bCs/>
          <w:sz w:val="20"/>
          <w:szCs w:val="20"/>
        </w:rPr>
        <w:t>Current smoking</w:t>
      </w:r>
      <w:r>
        <w:rPr>
          <w:rFonts w:ascii="Times New Roman" w:hAnsi="Times New Roman"/>
          <w:sz w:val="20"/>
          <w:szCs w:val="20"/>
        </w:rPr>
        <w:t>: Current smoking is defined as smoking within the last 1 month prior to taking CT exam. Smoking is an acknowledged risk</w:t>
      </w:r>
      <w:r>
        <w:rPr>
          <w:rFonts w:ascii="Times New Roman" w:hAnsi="Times New Roman"/>
          <w:sz w:val="20"/>
          <w:szCs w:val="20"/>
        </w:rPr>
        <w:t xml:space="preserve"> factor for atherosclerosis. When it comes to the association between smoking and arterial calcification, disparities in the research results exist. As is stated above, intimal calcification is closely related to atherosclerosis, which in turn is closely a</w:t>
      </w:r>
      <w:r>
        <w:rPr>
          <w:rFonts w:ascii="Times New Roman" w:hAnsi="Times New Roman"/>
          <w:sz w:val="20"/>
          <w:szCs w:val="20"/>
        </w:rPr>
        <w:t>ssociated with smoking</w:t>
      </w:r>
      <w:r>
        <w:rPr>
          <w:rFonts w:ascii="Times New Roman" w:hAnsi="Times New Roman"/>
          <w:sz w:val="20"/>
          <w:szCs w:val="20"/>
        </w:rPr>
        <w:fldChar w:fldCharType="begin"/>
      </w:r>
      <w:r>
        <w:rPr>
          <w:rFonts w:ascii="Times New Roman" w:hAnsi="Times New Roman"/>
          <w:sz w:val="20"/>
          <w:szCs w:val="20"/>
        </w:rPr>
        <w:instrText xml:space="preserve"> ADDIN NE.Ref.{3E6A2375-6898-4D37-B553-DAA4CC5F3D5B}</w:instrText>
      </w:r>
      <w:r>
        <w:rPr>
          <w:rFonts w:ascii="Times New Roman" w:hAnsi="Times New Roman"/>
          <w:sz w:val="20"/>
          <w:szCs w:val="20"/>
        </w:rPr>
        <w:fldChar w:fldCharType="separate"/>
      </w:r>
      <w:r>
        <w:rPr>
          <w:rFonts w:ascii="Times New Roman" w:hAnsi="Times New Roman" w:cs="Times New Roman"/>
          <w:color w:val="000000"/>
          <w:kern w:val="0"/>
          <w:sz w:val="20"/>
          <w:szCs w:val="20"/>
        </w:rPr>
        <w:t>[1]</w:t>
      </w:r>
      <w:r>
        <w:rPr>
          <w:rFonts w:ascii="Times New Roman" w:hAnsi="Times New Roman"/>
          <w:sz w:val="20"/>
          <w:szCs w:val="20"/>
        </w:rPr>
        <w:fldChar w:fldCharType="end"/>
      </w:r>
      <w:r>
        <w:rPr>
          <w:rFonts w:ascii="Times New Roman" w:hAnsi="Times New Roman"/>
          <w:sz w:val="20"/>
          <w:szCs w:val="20"/>
        </w:rPr>
        <w:t>. A study investigating autopsy patients revealed that smoking is a risk factor of coronary calcification</w:t>
      </w:r>
      <w:r>
        <w:rPr>
          <w:rFonts w:ascii="Times New Roman" w:hAnsi="Times New Roman"/>
          <w:sz w:val="20"/>
          <w:szCs w:val="20"/>
        </w:rPr>
        <w:fldChar w:fldCharType="begin"/>
      </w:r>
      <w:r>
        <w:rPr>
          <w:rFonts w:ascii="Times New Roman" w:hAnsi="Times New Roman"/>
          <w:sz w:val="20"/>
          <w:szCs w:val="20"/>
        </w:rPr>
        <w:instrText xml:space="preserve"> ADDIN NE.Ref.{AB4FF32F-029B-4CAC-9391-A816A4FE9CB0}</w:instrText>
      </w:r>
      <w:r>
        <w:rPr>
          <w:rFonts w:ascii="Times New Roman" w:hAnsi="Times New Roman"/>
          <w:sz w:val="20"/>
          <w:szCs w:val="20"/>
        </w:rPr>
        <w:fldChar w:fldCharType="separate"/>
      </w:r>
      <w:r>
        <w:rPr>
          <w:rFonts w:ascii="Times New Roman" w:hAnsi="Times New Roman" w:cs="Times New Roman"/>
          <w:color w:val="000000"/>
          <w:kern w:val="0"/>
          <w:sz w:val="20"/>
          <w:szCs w:val="20"/>
        </w:rPr>
        <w:t>[4]</w:t>
      </w:r>
      <w:r>
        <w:rPr>
          <w:rFonts w:ascii="Times New Roman" w:hAnsi="Times New Roman"/>
          <w:sz w:val="20"/>
          <w:szCs w:val="20"/>
        </w:rPr>
        <w:fldChar w:fldCharType="end"/>
      </w:r>
      <w:r>
        <w:rPr>
          <w:rFonts w:ascii="Times New Roman" w:hAnsi="Times New Roman"/>
          <w:sz w:val="20"/>
          <w:szCs w:val="20"/>
        </w:rPr>
        <w:t>. We pause he</w:t>
      </w:r>
      <w:r>
        <w:rPr>
          <w:rFonts w:ascii="Times New Roman" w:hAnsi="Times New Roman"/>
          <w:sz w:val="20"/>
          <w:szCs w:val="20"/>
        </w:rPr>
        <w:t xml:space="preserve">re to remind readers of another discovery of this study, which exemplifies the paradoxes between a priori deduction of the exact subtype of calcific and what we observe in reality. The researchers found that while the study population encompassed patients </w:t>
      </w:r>
      <w:r>
        <w:rPr>
          <w:rFonts w:ascii="Times New Roman" w:hAnsi="Times New Roman"/>
          <w:sz w:val="20"/>
          <w:szCs w:val="20"/>
        </w:rPr>
        <w:t xml:space="preserve">of a broad range of kidney function, the prevalence and severity of coronary intimal calcification was more pronounced in chronic kidney disease (CKD) 5D group than those in the CKD 4/5 and CKD 3 groups. This discovery is against what we would expect from </w:t>
      </w:r>
      <w:r>
        <w:rPr>
          <w:rFonts w:ascii="Times New Roman" w:hAnsi="Times New Roman"/>
          <w:sz w:val="20"/>
          <w:szCs w:val="20"/>
        </w:rPr>
        <w:t>a priori thinking based on the fact that impaired renal function is associated with medial rather than intimal calcification. However, when d</w:t>
      </w:r>
      <w:r>
        <w:rPr>
          <w:rFonts w:ascii="Times New Roman" w:hAnsi="Times New Roman" w:hint="eastAsia"/>
          <w:sz w:val="20"/>
          <w:szCs w:val="20"/>
        </w:rPr>
        <w:t>y</w:t>
      </w:r>
      <w:r>
        <w:rPr>
          <w:rFonts w:ascii="Times New Roman" w:hAnsi="Times New Roman"/>
          <w:sz w:val="20"/>
          <w:szCs w:val="20"/>
        </w:rPr>
        <w:t>slipid</w:t>
      </w:r>
      <w:r>
        <w:rPr>
          <w:rFonts w:ascii="Times New Roman" w:hAnsi="Times New Roman"/>
          <w:sz w:val="20"/>
          <w:szCs w:val="20"/>
        </w:rPr>
        <w:t>emia often coincides with impaired renal function is also considered in our thinking, this finding no longe</w:t>
      </w:r>
      <w:r>
        <w:rPr>
          <w:rFonts w:ascii="Times New Roman" w:hAnsi="Times New Roman"/>
          <w:sz w:val="20"/>
          <w:szCs w:val="20"/>
        </w:rPr>
        <w:t xml:space="preserve">r takes us by </w:t>
      </w:r>
      <w:r>
        <w:rPr>
          <w:rFonts w:ascii="Times New Roman" w:hAnsi="Times New Roman"/>
          <w:sz w:val="20"/>
          <w:szCs w:val="20"/>
        </w:rPr>
        <w:t xml:space="preserve">surprise. In this sense, impaired renal function is not only associated with medial, but also with intimal calcification. </w:t>
      </w:r>
      <w:proofErr w:type="spellStart"/>
      <w:r>
        <w:rPr>
          <w:rFonts w:ascii="Times New Roman" w:hAnsi="Times New Roman"/>
          <w:sz w:val="20"/>
          <w:szCs w:val="20"/>
        </w:rPr>
        <w:t>Starkman</w:t>
      </w:r>
      <w:proofErr w:type="spellEnd"/>
      <w:r>
        <w:rPr>
          <w:rFonts w:ascii="Times New Roman" w:hAnsi="Times New Roman"/>
          <w:sz w:val="20"/>
          <w:szCs w:val="20"/>
        </w:rPr>
        <w:t xml:space="preserve"> et al. also </w:t>
      </w:r>
      <w:r>
        <w:rPr>
          <w:rFonts w:ascii="Times New Roman" w:hAnsi="Times New Roman"/>
          <w:sz w:val="20"/>
          <w:szCs w:val="20"/>
        </w:rPr>
        <w:t xml:space="preserve">found that prevalence of </w:t>
      </w:r>
      <w:r>
        <w:rPr>
          <w:rFonts w:ascii="Times New Roman" w:hAnsi="Times New Roman" w:hint="eastAsia"/>
          <w:sz w:val="20"/>
          <w:szCs w:val="20"/>
        </w:rPr>
        <w:t xml:space="preserve">CAC in </w:t>
      </w:r>
      <w:r>
        <w:rPr>
          <w:rFonts w:ascii="Times New Roman" w:hAnsi="Times New Roman"/>
          <w:sz w:val="20"/>
          <w:szCs w:val="20"/>
        </w:rPr>
        <w:t>young (not older than 28 years old) smokers with type-1 dia</w:t>
      </w:r>
      <w:r>
        <w:rPr>
          <w:rFonts w:ascii="Times New Roman" w:hAnsi="Times New Roman"/>
          <w:sz w:val="20"/>
          <w:szCs w:val="20"/>
        </w:rPr>
        <w:t xml:space="preserve">betes mellitus (DM) was </w:t>
      </w:r>
      <w:r>
        <w:rPr>
          <w:rFonts w:ascii="Times New Roman" w:hAnsi="Times New Roman" w:hint="eastAsia"/>
          <w:sz w:val="20"/>
          <w:szCs w:val="20"/>
        </w:rPr>
        <w:t>greater</w:t>
      </w:r>
      <w:r>
        <w:rPr>
          <w:rFonts w:ascii="Times New Roman" w:hAnsi="Times New Roman"/>
          <w:sz w:val="20"/>
          <w:szCs w:val="20"/>
        </w:rPr>
        <w:t xml:space="preserve"> than th</w:t>
      </w:r>
      <w:r>
        <w:rPr>
          <w:rFonts w:ascii="Times New Roman" w:hAnsi="Times New Roman" w:hint="eastAsia"/>
          <w:sz w:val="20"/>
          <w:szCs w:val="20"/>
        </w:rPr>
        <w:t>at of</w:t>
      </w:r>
      <w:r>
        <w:rPr>
          <w:rFonts w:ascii="Times New Roman" w:hAnsi="Times New Roman"/>
          <w:sz w:val="20"/>
          <w:szCs w:val="20"/>
        </w:rPr>
        <w:t xml:space="preserve"> type-1 DM patients that did not smoke</w:t>
      </w:r>
      <w:r>
        <w:rPr>
          <w:rFonts w:ascii="Times New Roman" w:hAnsi="Times New Roman"/>
          <w:sz w:val="20"/>
          <w:szCs w:val="20"/>
        </w:rPr>
        <w:fldChar w:fldCharType="begin"/>
      </w:r>
      <w:r>
        <w:rPr>
          <w:rFonts w:ascii="Times New Roman" w:hAnsi="Times New Roman"/>
          <w:sz w:val="20"/>
          <w:szCs w:val="20"/>
        </w:rPr>
        <w:instrText xml:space="preserve"> ADDIN NE.Ref.{8DB5EAFD-544E-4CAA-8633-1713F779C152}</w:instrText>
      </w:r>
      <w:r>
        <w:rPr>
          <w:rFonts w:ascii="Times New Roman" w:hAnsi="Times New Roman"/>
          <w:sz w:val="20"/>
          <w:szCs w:val="20"/>
        </w:rPr>
        <w:fldChar w:fldCharType="separate"/>
      </w:r>
      <w:r>
        <w:rPr>
          <w:rFonts w:ascii="Times New Roman" w:hAnsi="Times New Roman" w:cs="Times New Roman"/>
          <w:color w:val="000000"/>
          <w:kern w:val="0"/>
          <w:sz w:val="20"/>
          <w:szCs w:val="20"/>
        </w:rPr>
        <w:t>[5]</w:t>
      </w:r>
      <w:r>
        <w:rPr>
          <w:rFonts w:ascii="Times New Roman" w:hAnsi="Times New Roman"/>
          <w:sz w:val="20"/>
          <w:szCs w:val="20"/>
        </w:rPr>
        <w:fldChar w:fldCharType="end"/>
      </w:r>
      <w:r>
        <w:rPr>
          <w:rFonts w:ascii="Times New Roman" w:hAnsi="Times New Roman"/>
          <w:sz w:val="20"/>
          <w:szCs w:val="20"/>
        </w:rPr>
        <w:t xml:space="preserve">. We would like to pause again to point out the prevalence (10.9%) of coronary calcification (measured as CACS&gt;0) in this cohort </w:t>
      </w:r>
      <w:r>
        <w:rPr>
          <w:rFonts w:ascii="Times New Roman" w:hAnsi="Times New Roman" w:hint="eastAsia"/>
          <w:sz w:val="20"/>
          <w:szCs w:val="20"/>
        </w:rPr>
        <w:t xml:space="preserve">that </w:t>
      </w:r>
      <w:r>
        <w:rPr>
          <w:rFonts w:ascii="Times New Roman" w:hAnsi="Times New Roman"/>
          <w:sz w:val="20"/>
          <w:szCs w:val="20"/>
        </w:rPr>
        <w:t>comprised totally of subjects aged between 17 to 29 years old and have at least a history of type-1 DM for 5 years. This f</w:t>
      </w:r>
      <w:r>
        <w:rPr>
          <w:rFonts w:ascii="Times New Roman" w:hAnsi="Times New Roman"/>
          <w:sz w:val="20"/>
          <w:szCs w:val="20"/>
        </w:rPr>
        <w:t>inding serves as another example of the paradoxes we mentioned earlier, as diabetes is associated with medial calcification, but as we have mentioned earlier</w:t>
      </w:r>
      <w:r>
        <w:rPr>
          <w:rFonts w:ascii="Times New Roman" w:hAnsi="Times New Roman"/>
          <w:sz w:val="20"/>
          <w:szCs w:val="20"/>
        </w:rPr>
        <w:t>, CACS is primarily a marker of intimal calcificati</w:t>
      </w:r>
      <w:r>
        <w:rPr>
          <w:rFonts w:ascii="Times New Roman" w:hAnsi="Times New Roman"/>
          <w:sz w:val="20"/>
          <w:szCs w:val="20"/>
        </w:rPr>
        <w:t>on and atherosclerosis. This also reminds us that risk factors of medial rather than intimal calcification should not be excluded from our model</w:t>
      </w:r>
      <w:r>
        <w:rPr>
          <w:rFonts w:ascii="Times New Roman" w:hAnsi="Times New Roman"/>
          <w:sz w:val="20"/>
          <w:szCs w:val="20"/>
        </w:rPr>
        <w:t xml:space="preserve">. On the other hand, the association between medial calcification </w:t>
      </w:r>
      <w:r>
        <w:rPr>
          <w:rFonts w:ascii="Times New Roman" w:hAnsi="Times New Roman"/>
          <w:sz w:val="20"/>
          <w:szCs w:val="20"/>
        </w:rPr>
        <w:t>and smoking is less robust. Histological studies conducted on 431 superficial femoral artery samples from organ donors revealed negative association between smoking and medial calcification of the samples</w:t>
      </w:r>
      <w:r>
        <w:rPr>
          <w:rFonts w:ascii="Times New Roman" w:hAnsi="Times New Roman"/>
          <w:sz w:val="20"/>
          <w:szCs w:val="20"/>
        </w:rPr>
        <w:fldChar w:fldCharType="begin"/>
      </w:r>
      <w:r>
        <w:rPr>
          <w:rFonts w:ascii="Times New Roman" w:hAnsi="Times New Roman"/>
          <w:sz w:val="20"/>
          <w:szCs w:val="20"/>
        </w:rPr>
        <w:instrText xml:space="preserve"> ADDIN NE.Ref.{38D894E0-94BB-4AAD-8F1B-01359FCD3933}</w:instrText>
      </w:r>
      <w:r>
        <w:rPr>
          <w:rFonts w:ascii="Times New Roman" w:hAnsi="Times New Roman"/>
          <w:sz w:val="20"/>
          <w:szCs w:val="20"/>
        </w:rPr>
        <w:fldChar w:fldCharType="separate"/>
      </w:r>
      <w:r>
        <w:rPr>
          <w:rFonts w:ascii="Times New Roman" w:hAnsi="Times New Roman" w:cs="Times New Roman"/>
          <w:color w:val="000000"/>
          <w:kern w:val="0"/>
          <w:sz w:val="20"/>
          <w:szCs w:val="20"/>
        </w:rPr>
        <w:t>[6]</w:t>
      </w:r>
      <w:r>
        <w:rPr>
          <w:rFonts w:ascii="Times New Roman" w:hAnsi="Times New Roman"/>
          <w:sz w:val="20"/>
          <w:szCs w:val="20"/>
        </w:rPr>
        <w:fldChar w:fldCharType="end"/>
      </w:r>
      <w:r>
        <w:rPr>
          <w:rFonts w:ascii="Times New Roman" w:hAnsi="Times New Roman"/>
          <w:sz w:val="20"/>
          <w:szCs w:val="20"/>
        </w:rPr>
        <w:t>. As for the studies that did not separately explore the associations between intimal or medial calcification and smoking but rather considered calcification as a whole, a preponderance of studies revealing the positive association between smoking an</w:t>
      </w:r>
      <w:r>
        <w:rPr>
          <w:rFonts w:ascii="Times New Roman" w:hAnsi="Times New Roman"/>
          <w:sz w:val="20"/>
          <w:szCs w:val="20"/>
        </w:rPr>
        <w:t>d vascular calcification is observed. A study on 409 individuals reveal</w:t>
      </w:r>
      <w:r>
        <w:rPr>
          <w:rFonts w:ascii="Times New Roman" w:hAnsi="Times New Roman" w:hint="eastAsia"/>
          <w:sz w:val="20"/>
          <w:szCs w:val="20"/>
        </w:rPr>
        <w:t>ed</w:t>
      </w:r>
      <w:r>
        <w:rPr>
          <w:rFonts w:ascii="Times New Roman" w:hAnsi="Times New Roman"/>
          <w:sz w:val="20"/>
          <w:szCs w:val="20"/>
        </w:rPr>
        <w:t xml:space="preserve"> the correlation between smoking and </w:t>
      </w:r>
      <w:r>
        <w:rPr>
          <w:rFonts w:ascii="Times New Roman" w:hAnsi="Times New Roman" w:hint="eastAsia"/>
          <w:sz w:val="20"/>
          <w:szCs w:val="20"/>
          <w:vertAlign w:val="superscript"/>
        </w:rPr>
        <w:t>18</w:t>
      </w:r>
      <w:r>
        <w:rPr>
          <w:rFonts w:ascii="Times New Roman" w:hAnsi="Times New Roman" w:hint="eastAsia"/>
          <w:sz w:val="20"/>
          <w:szCs w:val="20"/>
        </w:rPr>
        <w:t>F</w:t>
      </w:r>
      <w:r>
        <w:rPr>
          <w:rFonts w:ascii="Times New Roman" w:hAnsi="Times New Roman"/>
          <w:sz w:val="20"/>
          <w:szCs w:val="20"/>
        </w:rPr>
        <w:t>-sodium fluoride (</w:t>
      </w:r>
      <w:r>
        <w:rPr>
          <w:rFonts w:ascii="Times New Roman" w:hAnsi="Times New Roman"/>
          <w:sz w:val="20"/>
          <w:szCs w:val="20"/>
          <w:vertAlign w:val="superscript"/>
        </w:rPr>
        <w:t>18</w:t>
      </w:r>
      <w:r>
        <w:rPr>
          <w:rFonts w:ascii="Times New Roman" w:hAnsi="Times New Roman"/>
          <w:sz w:val="20"/>
          <w:szCs w:val="20"/>
        </w:rPr>
        <w:t>F-NaF) uptake of the femoral artery during positron emission tomography/CT (PET/CT)</w:t>
      </w:r>
      <w:r>
        <w:rPr>
          <w:rFonts w:ascii="Times New Roman" w:hAnsi="Times New Roman"/>
          <w:sz w:val="20"/>
          <w:szCs w:val="20"/>
        </w:rPr>
        <w:fldChar w:fldCharType="begin"/>
      </w:r>
      <w:r>
        <w:rPr>
          <w:rFonts w:ascii="Times New Roman" w:hAnsi="Times New Roman"/>
          <w:sz w:val="20"/>
          <w:szCs w:val="20"/>
        </w:rPr>
        <w:instrText xml:space="preserve"> ADDIN NE.Ref.{B61293CE-6B44-459A-B558-11C71EDEBC86}</w:instrText>
      </w:r>
      <w:r>
        <w:rPr>
          <w:rFonts w:ascii="Times New Roman" w:hAnsi="Times New Roman"/>
          <w:sz w:val="20"/>
          <w:szCs w:val="20"/>
        </w:rPr>
        <w:fldChar w:fldCharType="separate"/>
      </w:r>
      <w:r>
        <w:rPr>
          <w:rFonts w:ascii="Times New Roman" w:hAnsi="Times New Roman" w:cs="Times New Roman"/>
          <w:color w:val="000000"/>
          <w:kern w:val="0"/>
          <w:sz w:val="20"/>
          <w:szCs w:val="20"/>
        </w:rPr>
        <w:t>[7]</w:t>
      </w:r>
      <w:r>
        <w:rPr>
          <w:rFonts w:ascii="Times New Roman" w:hAnsi="Times New Roman"/>
          <w:sz w:val="20"/>
          <w:szCs w:val="20"/>
        </w:rPr>
        <w:fldChar w:fldCharType="end"/>
      </w:r>
      <w:r>
        <w:rPr>
          <w:rFonts w:ascii="Times New Roman" w:hAnsi="Times New Roman"/>
          <w:sz w:val="20"/>
          <w:szCs w:val="20"/>
        </w:rPr>
        <w:t>, a modality capable of identifying microcalcification in the lower limbs</w:t>
      </w:r>
      <w:r>
        <w:rPr>
          <w:rFonts w:ascii="Times New Roman" w:hAnsi="Times New Roman"/>
          <w:sz w:val="20"/>
          <w:szCs w:val="20"/>
        </w:rPr>
        <w:fldChar w:fldCharType="begin"/>
      </w:r>
      <w:r>
        <w:rPr>
          <w:rFonts w:ascii="Times New Roman" w:hAnsi="Times New Roman"/>
          <w:sz w:val="20"/>
          <w:szCs w:val="20"/>
        </w:rPr>
        <w:instrText xml:space="preserve"> ADDIN NE.Ref.{2015D524-B448-49A2-B7FE-05BD9A44D935}</w:instrText>
      </w:r>
      <w:r>
        <w:rPr>
          <w:rFonts w:ascii="Times New Roman" w:hAnsi="Times New Roman"/>
          <w:sz w:val="20"/>
          <w:szCs w:val="20"/>
        </w:rPr>
        <w:fldChar w:fldCharType="separate"/>
      </w:r>
      <w:r>
        <w:rPr>
          <w:rFonts w:ascii="Times New Roman" w:hAnsi="Times New Roman" w:cs="Times New Roman"/>
          <w:color w:val="000000"/>
          <w:kern w:val="0"/>
          <w:sz w:val="20"/>
          <w:szCs w:val="20"/>
        </w:rPr>
        <w:t>[8]</w:t>
      </w:r>
      <w:r>
        <w:rPr>
          <w:rFonts w:ascii="Times New Roman" w:hAnsi="Times New Roman"/>
          <w:sz w:val="20"/>
          <w:szCs w:val="20"/>
        </w:rPr>
        <w:fldChar w:fldCharType="end"/>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In another study, analysis of 334 saphenous vein graft lesions by</w:t>
      </w:r>
      <w:r>
        <w:rPr>
          <w:rFonts w:ascii="Times New Roman" w:hAnsi="Times New Roman"/>
          <w:sz w:val="20"/>
          <w:szCs w:val="20"/>
        </w:rPr>
        <w:t xml:space="preserve"> intravascular ultrasound (IVUS) identified post-coronary artery bypass smoking as an independent predictor of saphenous vein graft calcification</w:t>
      </w:r>
      <w:r>
        <w:rPr>
          <w:rFonts w:ascii="Times New Roman" w:hAnsi="Times New Roman"/>
          <w:sz w:val="20"/>
          <w:szCs w:val="20"/>
        </w:rPr>
        <w:fldChar w:fldCharType="begin"/>
      </w:r>
      <w:r>
        <w:rPr>
          <w:rFonts w:ascii="Times New Roman" w:hAnsi="Times New Roman"/>
          <w:sz w:val="20"/>
          <w:szCs w:val="20"/>
        </w:rPr>
        <w:instrText xml:space="preserve"> ADDIN NE.Ref.{1CA7F7A0-507B-4064-9412-14894F9815E8}</w:instrText>
      </w:r>
      <w:r>
        <w:rPr>
          <w:rFonts w:ascii="Times New Roman" w:hAnsi="Times New Roman"/>
          <w:sz w:val="20"/>
          <w:szCs w:val="20"/>
        </w:rPr>
        <w:fldChar w:fldCharType="separate"/>
      </w:r>
      <w:r>
        <w:rPr>
          <w:rFonts w:ascii="Times New Roman" w:hAnsi="Times New Roman" w:cs="Times New Roman"/>
          <w:color w:val="000000"/>
          <w:kern w:val="0"/>
          <w:sz w:val="20"/>
          <w:szCs w:val="20"/>
        </w:rPr>
        <w:t>[9]</w:t>
      </w:r>
      <w:r>
        <w:rPr>
          <w:rFonts w:ascii="Times New Roman" w:hAnsi="Times New Roman"/>
          <w:sz w:val="20"/>
          <w:szCs w:val="20"/>
        </w:rPr>
        <w:fldChar w:fldCharType="end"/>
      </w:r>
      <w:r>
        <w:rPr>
          <w:rFonts w:ascii="Times New Roman" w:hAnsi="Times New Roman"/>
          <w:sz w:val="20"/>
          <w:szCs w:val="20"/>
        </w:rPr>
        <w:t>. More recently, using data of 211 subjects that unde</w:t>
      </w:r>
      <w:r>
        <w:rPr>
          <w:rFonts w:ascii="Times New Roman" w:hAnsi="Times New Roman"/>
          <w:sz w:val="20"/>
          <w:szCs w:val="20"/>
        </w:rPr>
        <w:t xml:space="preserve">rwent enhanced chest-abdomen-pelvis CT angiography and a modern machine learning method named random forests, </w:t>
      </w:r>
      <w:proofErr w:type="spellStart"/>
      <w:r>
        <w:rPr>
          <w:rFonts w:ascii="Times New Roman" w:hAnsi="Times New Roman"/>
          <w:sz w:val="20"/>
          <w:szCs w:val="20"/>
        </w:rPr>
        <w:t>Jadidi</w:t>
      </w:r>
      <w:proofErr w:type="spellEnd"/>
      <w:r>
        <w:rPr>
          <w:rFonts w:ascii="Times New Roman" w:hAnsi="Times New Roman"/>
          <w:sz w:val="20"/>
          <w:szCs w:val="20"/>
        </w:rPr>
        <w:t xml:space="preserve"> et al.</w:t>
      </w:r>
      <w:r>
        <w:rPr>
          <w:rFonts w:ascii="Times New Roman" w:hAnsi="Times New Roman"/>
          <w:sz w:val="20"/>
          <w:szCs w:val="20"/>
        </w:rPr>
        <w:fldChar w:fldCharType="begin"/>
      </w:r>
      <w:r>
        <w:rPr>
          <w:rFonts w:ascii="Times New Roman" w:hAnsi="Times New Roman"/>
          <w:sz w:val="20"/>
          <w:szCs w:val="20"/>
        </w:rPr>
        <w:instrText xml:space="preserve"> ADDIN NE.Ref.{0C415603-32D7-47D8-B8BC-28E1318B7F82}</w:instrText>
      </w:r>
      <w:r>
        <w:rPr>
          <w:rFonts w:ascii="Times New Roman" w:hAnsi="Times New Roman"/>
          <w:sz w:val="20"/>
          <w:szCs w:val="20"/>
        </w:rPr>
        <w:fldChar w:fldCharType="separate"/>
      </w:r>
      <w:r>
        <w:rPr>
          <w:rFonts w:ascii="Times New Roman" w:hAnsi="Times New Roman" w:cs="Times New Roman"/>
          <w:color w:val="000000"/>
          <w:kern w:val="0"/>
          <w:sz w:val="20"/>
          <w:szCs w:val="20"/>
        </w:rPr>
        <w:t>[10]</w:t>
      </w:r>
      <w:r>
        <w:rPr>
          <w:rFonts w:ascii="Times New Roman" w:hAnsi="Times New Roman"/>
          <w:sz w:val="20"/>
          <w:szCs w:val="20"/>
        </w:rPr>
        <w:fldChar w:fldCharType="end"/>
      </w:r>
      <w:r>
        <w:rPr>
          <w:rFonts w:ascii="Times New Roman" w:hAnsi="Times New Roman"/>
          <w:sz w:val="20"/>
          <w:szCs w:val="20"/>
        </w:rPr>
        <w:t xml:space="preserve"> explored the risk factors of vascular calcification in both a general and</w:t>
      </w:r>
      <w:r>
        <w:rPr>
          <w:rFonts w:ascii="Times New Roman" w:hAnsi="Times New Roman"/>
          <w:sz w:val="20"/>
          <w:szCs w:val="20"/>
        </w:rPr>
        <w:t xml:space="preserve"> vascular zone-specific manner. They found that total calcification was more pronounced in former and current smokers than those who never smoked</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A</w:t>
      </w:r>
      <w:r>
        <w:rPr>
          <w:rFonts w:ascii="Times New Roman" w:hAnsi="Times New Roman"/>
          <w:sz w:val="20"/>
          <w:szCs w:val="20"/>
        </w:rPr>
        <w:t xml:space="preserve">mong the vascular zones </w:t>
      </w:r>
      <w:r>
        <w:rPr>
          <w:rFonts w:ascii="Times New Roman" w:hAnsi="Times New Roman"/>
          <w:sz w:val="20"/>
          <w:szCs w:val="20"/>
        </w:rPr>
        <w:t xml:space="preserve">examined, such an association </w:t>
      </w:r>
      <w:r>
        <w:rPr>
          <w:rFonts w:ascii="Times New Roman" w:hAnsi="Times New Roman" w:hint="eastAsia"/>
          <w:sz w:val="20"/>
          <w:szCs w:val="20"/>
        </w:rPr>
        <w:t>wa</w:t>
      </w:r>
      <w:r>
        <w:rPr>
          <w:rFonts w:ascii="Times New Roman" w:hAnsi="Times New Roman"/>
          <w:sz w:val="20"/>
          <w:szCs w:val="20"/>
        </w:rPr>
        <w:t>s only statistically significant in the</w:t>
      </w:r>
      <w:r>
        <w:rPr>
          <w:rFonts w:ascii="Times New Roman" w:hAnsi="Times New Roman"/>
          <w:sz w:val="20"/>
          <w:szCs w:val="20"/>
        </w:rPr>
        <w:t xml:space="preserve"> abdominal aorta. Unfortunately, coronary arteries were not investigated in this study. Eventually, given the acknowledged fact that smoking is a risk factor of atherosclerosis, the close correlation between both intimal calcification and smoking as well a</w:t>
      </w:r>
      <w:r>
        <w:rPr>
          <w:rFonts w:ascii="Times New Roman" w:hAnsi="Times New Roman"/>
          <w:sz w:val="20"/>
          <w:szCs w:val="20"/>
        </w:rPr>
        <w:t>s CACS and coronary intimal calcification and atherosclerosis, we included smoking in our model</w:t>
      </w:r>
      <w:r>
        <w:rPr>
          <w:rFonts w:ascii="Times New Roman" w:hAnsi="Times New Roman" w:hint="eastAsia"/>
          <w:sz w:val="20"/>
          <w:szCs w:val="20"/>
        </w:rPr>
        <w:t>s</w:t>
      </w:r>
      <w:r>
        <w:rPr>
          <w:rFonts w:ascii="Times New Roman" w:hAnsi="Times New Roman"/>
          <w:sz w:val="20"/>
          <w:szCs w:val="20"/>
        </w:rPr>
        <w:t xml:space="preserve">. We next decided to include </w:t>
      </w:r>
      <w:r>
        <w:rPr>
          <w:rFonts w:ascii="Times New Roman" w:hAnsi="Times New Roman"/>
          <w:i/>
          <w:iCs/>
          <w:sz w:val="20"/>
          <w:szCs w:val="20"/>
        </w:rPr>
        <w:t xml:space="preserve">current </w:t>
      </w:r>
      <w:r>
        <w:rPr>
          <w:rFonts w:ascii="Times New Roman" w:hAnsi="Times New Roman"/>
          <w:sz w:val="20"/>
          <w:szCs w:val="20"/>
        </w:rPr>
        <w:t xml:space="preserve">smoking rather than </w:t>
      </w:r>
      <w:r>
        <w:rPr>
          <w:rFonts w:ascii="Times New Roman" w:hAnsi="Times New Roman"/>
          <w:i/>
          <w:iCs/>
          <w:sz w:val="20"/>
          <w:szCs w:val="20"/>
        </w:rPr>
        <w:t>current or former</w:t>
      </w:r>
      <w:r>
        <w:rPr>
          <w:rFonts w:ascii="Times New Roman" w:hAnsi="Times New Roman"/>
          <w:sz w:val="20"/>
          <w:szCs w:val="20"/>
        </w:rPr>
        <w:t xml:space="preserve"> smoking in the model</w:t>
      </w:r>
      <w:r>
        <w:rPr>
          <w:rFonts w:ascii="Times New Roman" w:hAnsi="Times New Roman" w:hint="eastAsia"/>
          <w:sz w:val="20"/>
          <w:szCs w:val="20"/>
        </w:rPr>
        <w:t>s</w:t>
      </w:r>
      <w:r>
        <w:rPr>
          <w:rFonts w:ascii="Times New Roman" w:hAnsi="Times New Roman"/>
          <w:sz w:val="20"/>
          <w:szCs w:val="20"/>
        </w:rPr>
        <w:t xml:space="preserve"> for the following reasons. Heterogeneity of the time from smoki</w:t>
      </w:r>
      <w:r>
        <w:rPr>
          <w:rFonts w:ascii="Times New Roman" w:hAnsi="Times New Roman"/>
          <w:sz w:val="20"/>
          <w:szCs w:val="20"/>
        </w:rPr>
        <w:t xml:space="preserve">ng </w:t>
      </w:r>
      <w:r>
        <w:rPr>
          <w:rFonts w:ascii="Times New Roman" w:hAnsi="Times New Roman"/>
          <w:sz w:val="20"/>
          <w:szCs w:val="20"/>
        </w:rPr>
        <w:lastRenderedPageBreak/>
        <w:t xml:space="preserve">cessation to taking the CT exam lies in the population who former smoked but later quitted. Adding the duration of smoking cessation in the model </w:t>
      </w:r>
      <w:r>
        <w:rPr>
          <w:rFonts w:ascii="Times New Roman" w:hAnsi="Times New Roman" w:hint="eastAsia"/>
          <w:sz w:val="20"/>
          <w:szCs w:val="20"/>
        </w:rPr>
        <w:t>wa</w:t>
      </w:r>
      <w:r>
        <w:rPr>
          <w:rFonts w:ascii="Times New Roman" w:hAnsi="Times New Roman"/>
          <w:sz w:val="20"/>
          <w:szCs w:val="20"/>
        </w:rPr>
        <w:t>s a solution, but bias in recalling the duration of smoking cessation pose</w:t>
      </w:r>
      <w:r>
        <w:rPr>
          <w:rFonts w:ascii="Times New Roman" w:hAnsi="Times New Roman" w:hint="eastAsia"/>
          <w:sz w:val="20"/>
          <w:szCs w:val="20"/>
        </w:rPr>
        <w:t>d</w:t>
      </w:r>
      <w:r>
        <w:rPr>
          <w:rFonts w:ascii="Times New Roman" w:hAnsi="Times New Roman"/>
          <w:sz w:val="20"/>
          <w:szCs w:val="20"/>
        </w:rPr>
        <w:t xml:space="preserve"> a problem. Addition of smoking cessation duration in the model also consumes extra degrees of freedom, which may cause overfitting</w:t>
      </w:r>
      <w:r>
        <w:rPr>
          <w:rFonts w:ascii="Times New Roman" w:hAnsi="Times New Roman"/>
          <w:sz w:val="20"/>
          <w:szCs w:val="20"/>
        </w:rPr>
        <w:t>. A study also shows the lack of association between former smokers and CACS&gt;0</w:t>
      </w:r>
      <w:r>
        <w:rPr>
          <w:rFonts w:ascii="Times New Roman" w:hAnsi="Times New Roman"/>
          <w:sz w:val="20"/>
          <w:szCs w:val="20"/>
        </w:rPr>
        <w:fldChar w:fldCharType="begin"/>
      </w:r>
      <w:r>
        <w:rPr>
          <w:rFonts w:ascii="Times New Roman" w:hAnsi="Times New Roman"/>
          <w:sz w:val="20"/>
          <w:szCs w:val="20"/>
        </w:rPr>
        <w:instrText xml:space="preserve"> ADDIN NE.Ref.{</w:instrText>
      </w:r>
      <w:r>
        <w:rPr>
          <w:rFonts w:ascii="Times New Roman" w:hAnsi="Times New Roman"/>
          <w:sz w:val="20"/>
          <w:szCs w:val="20"/>
        </w:rPr>
        <w:instrText>455BD270-06C4-481C-9260-53B6D8D65B77}</w:instrText>
      </w:r>
      <w:r>
        <w:rPr>
          <w:rFonts w:ascii="Times New Roman" w:hAnsi="Times New Roman"/>
          <w:sz w:val="20"/>
          <w:szCs w:val="20"/>
        </w:rPr>
        <w:fldChar w:fldCharType="separate"/>
      </w:r>
      <w:r>
        <w:rPr>
          <w:rFonts w:ascii="Times New Roman" w:hAnsi="Times New Roman" w:cs="Times New Roman"/>
          <w:color w:val="000000"/>
          <w:kern w:val="0"/>
          <w:sz w:val="20"/>
          <w:szCs w:val="20"/>
        </w:rPr>
        <w:t>[11]</w:t>
      </w:r>
      <w:r>
        <w:rPr>
          <w:rFonts w:ascii="Times New Roman" w:hAnsi="Times New Roman"/>
          <w:sz w:val="20"/>
          <w:szCs w:val="20"/>
        </w:rPr>
        <w:fldChar w:fldCharType="end"/>
      </w:r>
      <w:r>
        <w:rPr>
          <w:rFonts w:ascii="Times New Roman" w:hAnsi="Times New Roman"/>
          <w:sz w:val="20"/>
          <w:szCs w:val="20"/>
        </w:rPr>
        <w:t>, which may suggest a less important role of former smoking in the prediction of CACS&gt;0. Therefore, we put current smoking in the model in the end.</w:t>
      </w:r>
    </w:p>
    <w:p w14:paraId="5867279F" w14:textId="589C8144"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hint="eastAsia"/>
          <w:b/>
          <w:bCs/>
          <w:sz w:val="20"/>
          <w:szCs w:val="20"/>
        </w:rPr>
        <w:t>LDL</w:t>
      </w:r>
      <w:r>
        <w:rPr>
          <w:rFonts w:ascii="Times New Roman" w:hAnsi="Times New Roman"/>
          <w:b/>
          <w:bCs/>
          <w:sz w:val="20"/>
          <w:szCs w:val="20"/>
        </w:rPr>
        <w:t>-C</w:t>
      </w:r>
      <w:r>
        <w:rPr>
          <w:rFonts w:ascii="Times New Roman" w:hAnsi="Times New Roman"/>
          <w:sz w:val="20"/>
          <w:szCs w:val="20"/>
        </w:rPr>
        <w:t>: LDL-C has been acknowledged as an important risk factor i</w:t>
      </w:r>
      <w:r>
        <w:rPr>
          <w:rFonts w:ascii="Times New Roman" w:hAnsi="Times New Roman"/>
          <w:sz w:val="20"/>
          <w:szCs w:val="20"/>
        </w:rPr>
        <w:t xml:space="preserve">n atherosclerosis. Endothelial dysfunction enables accumulation of LDL-C particles in the arterial wall, in which LDL-C particles are further oxidized, triggering inflammatory response. Monocytes then enter the arterial wall, in which they convert into </w:t>
      </w:r>
      <w:r>
        <w:rPr>
          <w:rFonts w:ascii="Times New Roman" w:hAnsi="Times New Roman" w:hint="eastAsia"/>
          <w:sz w:val="20"/>
          <w:szCs w:val="20"/>
        </w:rPr>
        <w:t>o</w:t>
      </w:r>
      <w:r>
        <w:rPr>
          <w:rFonts w:ascii="Times New Roman" w:hAnsi="Times New Roman"/>
          <w:sz w:val="20"/>
          <w:szCs w:val="20"/>
        </w:rPr>
        <w:t>x</w:t>
      </w:r>
      <w:r>
        <w:rPr>
          <w:rFonts w:ascii="Times New Roman" w:hAnsi="Times New Roman"/>
          <w:sz w:val="20"/>
          <w:szCs w:val="20"/>
        </w:rPr>
        <w:t>idized LDL-C and engulf them, forming foam cells that lead to the formation of fibroatheromas</w:t>
      </w:r>
      <w:r>
        <w:rPr>
          <w:rFonts w:ascii="Times New Roman" w:hAnsi="Times New Roman"/>
          <w:sz w:val="20"/>
          <w:szCs w:val="20"/>
        </w:rPr>
        <w:fldChar w:fldCharType="begin"/>
      </w:r>
      <w:r>
        <w:rPr>
          <w:rFonts w:ascii="Times New Roman" w:hAnsi="Times New Roman"/>
          <w:sz w:val="20"/>
          <w:szCs w:val="20"/>
        </w:rPr>
        <w:instrText xml:space="preserve"> ADDIN NE.Ref.{ED4A39AC-18D8-4EA9-A182-1769169060DD}</w:instrText>
      </w:r>
      <w:r>
        <w:rPr>
          <w:rFonts w:ascii="Times New Roman" w:hAnsi="Times New Roman"/>
          <w:sz w:val="20"/>
          <w:szCs w:val="20"/>
        </w:rPr>
        <w:fldChar w:fldCharType="separate"/>
      </w:r>
      <w:r>
        <w:rPr>
          <w:rFonts w:ascii="Times New Roman" w:hAnsi="Times New Roman" w:cs="Times New Roman"/>
          <w:color w:val="000000"/>
          <w:kern w:val="0"/>
          <w:sz w:val="20"/>
          <w:szCs w:val="20"/>
        </w:rPr>
        <w:t>[12]</w:t>
      </w:r>
      <w:r>
        <w:rPr>
          <w:rFonts w:ascii="Times New Roman" w:hAnsi="Times New Roman"/>
          <w:sz w:val="20"/>
          <w:szCs w:val="20"/>
        </w:rPr>
        <w:fldChar w:fldCharType="end"/>
      </w:r>
      <w:r>
        <w:rPr>
          <w:rFonts w:ascii="Times New Roman" w:hAnsi="Times New Roman"/>
          <w:sz w:val="20"/>
          <w:szCs w:val="20"/>
        </w:rPr>
        <w:t xml:space="preserve">. Calcification follows this process. Plaque components including apoptotic cells, extracellular matrix </w:t>
      </w:r>
      <w:r>
        <w:rPr>
          <w:rFonts w:ascii="Times New Roman" w:hAnsi="Times New Roman"/>
          <w:sz w:val="20"/>
          <w:szCs w:val="20"/>
        </w:rPr>
        <w:t>and necrotic core may be calcified</w:t>
      </w:r>
      <w:r>
        <w:rPr>
          <w:rFonts w:ascii="Times New Roman" w:hAnsi="Times New Roman"/>
          <w:sz w:val="20"/>
          <w:szCs w:val="20"/>
        </w:rPr>
        <w:fldChar w:fldCharType="begin"/>
      </w:r>
      <w:r>
        <w:rPr>
          <w:rFonts w:ascii="Times New Roman" w:hAnsi="Times New Roman"/>
          <w:sz w:val="20"/>
          <w:szCs w:val="20"/>
        </w:rPr>
        <w:instrText xml:space="preserve"> ADDIN NE.Ref.{26173416-DCD7-4752-B641-0619A1C8E535}</w:instrText>
      </w:r>
      <w:r>
        <w:rPr>
          <w:rFonts w:ascii="Times New Roman" w:hAnsi="Times New Roman"/>
          <w:sz w:val="20"/>
          <w:szCs w:val="20"/>
        </w:rPr>
        <w:fldChar w:fldCharType="separate"/>
      </w:r>
      <w:r>
        <w:rPr>
          <w:rFonts w:ascii="Times New Roman" w:hAnsi="Times New Roman" w:cs="Times New Roman"/>
          <w:color w:val="000000"/>
          <w:kern w:val="0"/>
          <w:sz w:val="20"/>
          <w:szCs w:val="20"/>
        </w:rPr>
        <w:t>[13]</w:t>
      </w:r>
      <w:r>
        <w:rPr>
          <w:rFonts w:ascii="Times New Roman" w:hAnsi="Times New Roman"/>
          <w:sz w:val="20"/>
          <w:szCs w:val="20"/>
        </w:rPr>
        <w:fldChar w:fldCharType="end"/>
      </w:r>
      <w:r>
        <w:rPr>
          <w:rFonts w:ascii="Times New Roman" w:hAnsi="Times New Roman"/>
          <w:sz w:val="20"/>
          <w:szCs w:val="20"/>
        </w:rPr>
        <w:t>. There is also clinical evidence demonstrating the positive association between elevation of LDL-C and CAC. Hao et al.</w:t>
      </w:r>
      <w:r>
        <w:rPr>
          <w:rFonts w:ascii="Times New Roman" w:hAnsi="Times New Roman"/>
          <w:sz w:val="20"/>
          <w:szCs w:val="20"/>
        </w:rPr>
        <w:fldChar w:fldCharType="begin"/>
      </w:r>
      <w:r>
        <w:rPr>
          <w:rFonts w:ascii="Times New Roman" w:hAnsi="Times New Roman"/>
          <w:sz w:val="20"/>
          <w:szCs w:val="20"/>
        </w:rPr>
        <w:instrText xml:space="preserve"> ADDIN NE.Ref.{DF232E67-DBB4-435B-B9E2-F8600</w:instrText>
      </w:r>
      <w:r>
        <w:rPr>
          <w:rFonts w:ascii="Times New Roman" w:hAnsi="Times New Roman"/>
          <w:sz w:val="20"/>
          <w:szCs w:val="20"/>
        </w:rPr>
        <w:instrText>9C19FE9}</w:instrText>
      </w:r>
      <w:r>
        <w:rPr>
          <w:rFonts w:ascii="Times New Roman" w:hAnsi="Times New Roman"/>
          <w:sz w:val="20"/>
          <w:szCs w:val="20"/>
        </w:rPr>
        <w:fldChar w:fldCharType="separate"/>
      </w:r>
      <w:r>
        <w:rPr>
          <w:rFonts w:ascii="Times New Roman" w:hAnsi="Times New Roman" w:cs="Times New Roman"/>
          <w:color w:val="000000"/>
          <w:kern w:val="0"/>
          <w:sz w:val="20"/>
          <w:szCs w:val="20"/>
        </w:rPr>
        <w:t>[14]</w:t>
      </w:r>
      <w:r>
        <w:rPr>
          <w:rFonts w:ascii="Times New Roman" w:hAnsi="Times New Roman"/>
          <w:sz w:val="20"/>
          <w:szCs w:val="20"/>
        </w:rPr>
        <w:fldChar w:fldCharType="end"/>
      </w:r>
      <w:r>
        <w:rPr>
          <w:rFonts w:ascii="Times New Roman" w:hAnsi="Times New Roman"/>
          <w:sz w:val="20"/>
          <w:szCs w:val="20"/>
        </w:rPr>
        <w:t xml:space="preserve"> conducted a study analy</w:t>
      </w:r>
      <w:r>
        <w:rPr>
          <w:rFonts w:ascii="Times New Roman" w:hAnsi="Times New Roman" w:hint="eastAsia"/>
          <w:sz w:val="20"/>
          <w:szCs w:val="20"/>
        </w:rPr>
        <w:t>z</w:t>
      </w:r>
      <w:r>
        <w:rPr>
          <w:rFonts w:ascii="Times New Roman" w:hAnsi="Times New Roman"/>
          <w:sz w:val="20"/>
          <w:szCs w:val="20"/>
        </w:rPr>
        <w:t xml:space="preserve">ing data of 6544 atherosclerotic disease-free individuals (58.2% were white) and found that elevation of LDL-C was an independent risk factor of CAC progression after adjustment of </w:t>
      </w:r>
      <w:r>
        <w:rPr>
          <w:rFonts w:ascii="Times New Roman" w:hAnsi="Times New Roman" w:hint="eastAsia"/>
          <w:sz w:val="20"/>
          <w:szCs w:val="20"/>
        </w:rPr>
        <w:t xml:space="preserve">other </w:t>
      </w:r>
      <w:r>
        <w:rPr>
          <w:rFonts w:ascii="Times New Roman" w:hAnsi="Times New Roman"/>
          <w:sz w:val="20"/>
          <w:szCs w:val="20"/>
        </w:rPr>
        <w:t xml:space="preserve">traditional risk factors. Of </w:t>
      </w:r>
      <w:r>
        <w:rPr>
          <w:rFonts w:ascii="Times New Roman" w:hAnsi="Times New Roman"/>
          <w:sz w:val="20"/>
          <w:szCs w:val="20"/>
        </w:rPr>
        <w:t xml:space="preserve">note, they defined CAC progression as a blend mixture of events that encompassed transition of CAC=0 at baseline into CAC&gt;0 at follow-up, which is </w:t>
      </w:r>
      <w:r>
        <w:rPr>
          <w:rFonts w:ascii="Times New Roman" w:hAnsi="Times New Roman"/>
          <w:sz w:val="20"/>
          <w:szCs w:val="20"/>
        </w:rPr>
        <w:t xml:space="preserve">most relevant </w:t>
      </w:r>
      <w:r>
        <w:rPr>
          <w:rFonts w:ascii="Times New Roman" w:hAnsi="Times New Roman"/>
          <w:sz w:val="20"/>
          <w:szCs w:val="20"/>
        </w:rPr>
        <w:t>to our study.</w:t>
      </w:r>
    </w:p>
    <w:p w14:paraId="0867DEC0" w14:textId="0717E79F"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 xml:space="preserve">However, there are also other evidences casting doubt on the positive </w:t>
      </w:r>
      <w:r>
        <w:rPr>
          <w:rFonts w:ascii="Times New Roman" w:hAnsi="Times New Roman"/>
          <w:sz w:val="20"/>
          <w:szCs w:val="20"/>
        </w:rPr>
        <w:t>correlation between elevated LDL-C and vascular calcification. A detail interesting to note is that among 4085 people aged between 45 to 84 years old and met enrolment criteria of randomized clinical trials (RCTs) of statin therapy in the Multi-ethnic stud</w:t>
      </w:r>
      <w:r>
        <w:rPr>
          <w:rFonts w:ascii="Times New Roman" w:hAnsi="Times New Roman"/>
          <w:sz w:val="20"/>
          <w:szCs w:val="20"/>
        </w:rPr>
        <w:t>y of atherosclerosis (MESA) study, nearly half had a CACS of 0</w:t>
      </w:r>
      <w:r>
        <w:rPr>
          <w:rFonts w:ascii="Times New Roman" w:hAnsi="Times New Roman"/>
          <w:sz w:val="20"/>
          <w:szCs w:val="20"/>
        </w:rPr>
        <w:fldChar w:fldCharType="begin"/>
      </w:r>
      <w:r>
        <w:rPr>
          <w:rFonts w:ascii="Times New Roman" w:hAnsi="Times New Roman"/>
          <w:sz w:val="20"/>
          <w:szCs w:val="20"/>
        </w:rPr>
        <w:instrText xml:space="preserve"> ADDIN NE.Ref.{83E6A51A-6417-4F9C-860D-992C228F45A6}</w:instrText>
      </w:r>
      <w:r>
        <w:rPr>
          <w:rFonts w:ascii="Times New Roman" w:hAnsi="Times New Roman"/>
          <w:sz w:val="20"/>
          <w:szCs w:val="20"/>
        </w:rPr>
        <w:fldChar w:fldCharType="separate"/>
      </w:r>
      <w:r>
        <w:rPr>
          <w:rFonts w:ascii="Times New Roman" w:hAnsi="Times New Roman" w:cs="Times New Roman"/>
          <w:color w:val="000000"/>
          <w:kern w:val="0"/>
          <w:sz w:val="20"/>
          <w:szCs w:val="20"/>
        </w:rPr>
        <w:t>[15]</w:t>
      </w:r>
      <w:r>
        <w:rPr>
          <w:rFonts w:ascii="Times New Roman" w:hAnsi="Times New Roman"/>
          <w:sz w:val="20"/>
          <w:szCs w:val="20"/>
        </w:rPr>
        <w:fldChar w:fldCharType="end"/>
      </w:r>
      <w:r>
        <w:rPr>
          <w:rFonts w:ascii="Times New Roman" w:hAnsi="Times New Roman"/>
          <w:sz w:val="20"/>
          <w:szCs w:val="20"/>
        </w:rPr>
        <w:t>. In addition, Hong et al. conducted a study</w:t>
      </w:r>
      <w:r>
        <w:rPr>
          <w:rFonts w:ascii="Times New Roman" w:hAnsi="Times New Roman"/>
          <w:sz w:val="20"/>
          <w:szCs w:val="20"/>
        </w:rPr>
        <w:fldChar w:fldCharType="begin"/>
      </w:r>
      <w:r>
        <w:rPr>
          <w:rFonts w:ascii="Times New Roman" w:hAnsi="Times New Roman"/>
          <w:sz w:val="20"/>
          <w:szCs w:val="20"/>
        </w:rPr>
        <w:instrText xml:space="preserve"> ADDIN NE.Ref.{4E8716AA-3641-4810-A203-D5302D2DF069}</w:instrText>
      </w:r>
      <w:r>
        <w:rPr>
          <w:rFonts w:ascii="Times New Roman" w:hAnsi="Times New Roman"/>
          <w:sz w:val="20"/>
          <w:szCs w:val="20"/>
        </w:rPr>
        <w:fldChar w:fldCharType="separate"/>
      </w:r>
      <w:r>
        <w:rPr>
          <w:rFonts w:ascii="Times New Roman" w:hAnsi="Times New Roman" w:cs="Times New Roman"/>
          <w:color w:val="000000"/>
          <w:kern w:val="0"/>
          <w:sz w:val="20"/>
          <w:szCs w:val="20"/>
        </w:rPr>
        <w:t>[16]</w:t>
      </w:r>
      <w:r>
        <w:rPr>
          <w:rFonts w:ascii="Times New Roman" w:hAnsi="Times New Roman"/>
          <w:sz w:val="20"/>
          <w:szCs w:val="20"/>
        </w:rPr>
        <w:fldChar w:fldCharType="end"/>
      </w:r>
      <w:r>
        <w:rPr>
          <w:rFonts w:ascii="Times New Roman" w:hAnsi="Times New Roman"/>
          <w:sz w:val="20"/>
          <w:szCs w:val="20"/>
        </w:rPr>
        <w:t xml:space="preserve"> investigating 625 lipid-lowerin</w:t>
      </w:r>
      <w:r>
        <w:rPr>
          <w:rFonts w:ascii="Times New Roman" w:hAnsi="Times New Roman"/>
          <w:sz w:val="20"/>
          <w:szCs w:val="20"/>
        </w:rPr>
        <w:t>g agent naïve Korean patients with LDL-C not higher than 135 mg/dL (3.50mmol/L) did not find statistical significance among of LDL-C levels among patients whose CACS=0, 0&lt;CACS&lt;400 and CACS not smaller than 400. Similar results were also found when patients</w:t>
      </w:r>
      <w:r>
        <w:rPr>
          <w:rFonts w:ascii="Times New Roman" w:hAnsi="Times New Roman"/>
          <w:sz w:val="20"/>
          <w:szCs w:val="20"/>
        </w:rPr>
        <w:t xml:space="preserve"> were categorized into CACS=0, CACS&gt;0 and CAC&lt; 90</w:t>
      </w:r>
      <w:r>
        <w:rPr>
          <w:rFonts w:ascii="Times New Roman" w:hAnsi="Times New Roman"/>
          <w:sz w:val="20"/>
          <w:szCs w:val="20"/>
          <w:vertAlign w:val="superscript"/>
        </w:rPr>
        <w:t>th</w:t>
      </w:r>
      <w:r>
        <w:rPr>
          <w:rFonts w:ascii="Times New Roman" w:hAnsi="Times New Roman" w:hint="eastAsia"/>
          <w:sz w:val="20"/>
          <w:szCs w:val="20"/>
        </w:rPr>
        <w:t xml:space="preserve"> </w:t>
      </w:r>
      <w:r>
        <w:rPr>
          <w:rFonts w:ascii="Times New Roman" w:hAnsi="Times New Roman"/>
          <w:sz w:val="20"/>
          <w:szCs w:val="20"/>
        </w:rPr>
        <w:t>percentile as well as CACS not smaller than 90</w:t>
      </w:r>
      <w:r>
        <w:rPr>
          <w:rFonts w:ascii="Times New Roman" w:hAnsi="Times New Roman"/>
          <w:sz w:val="20"/>
          <w:szCs w:val="20"/>
          <w:vertAlign w:val="superscript"/>
        </w:rPr>
        <w:t>th</w:t>
      </w:r>
      <w:r>
        <w:rPr>
          <w:rFonts w:ascii="Times New Roman" w:hAnsi="Times New Roman"/>
          <w:sz w:val="20"/>
          <w:szCs w:val="20"/>
        </w:rPr>
        <w:t xml:space="preserve"> percentile</w:t>
      </w:r>
      <w:r>
        <w:rPr>
          <w:rFonts w:ascii="Times New Roman" w:hAnsi="Times New Roman"/>
          <w:sz w:val="20"/>
          <w:szCs w:val="20"/>
        </w:rPr>
        <w:fldChar w:fldCharType="begin"/>
      </w:r>
      <w:r>
        <w:rPr>
          <w:rFonts w:ascii="Times New Roman" w:hAnsi="Times New Roman"/>
          <w:sz w:val="20"/>
          <w:szCs w:val="20"/>
        </w:rPr>
        <w:instrText xml:space="preserve"> ADDIN NE.Ref.{F886E16E-0366-4A48-9620-F0D6B2D10940}</w:instrText>
      </w:r>
      <w:r>
        <w:rPr>
          <w:rFonts w:ascii="Times New Roman" w:hAnsi="Times New Roman"/>
          <w:sz w:val="20"/>
          <w:szCs w:val="20"/>
        </w:rPr>
        <w:fldChar w:fldCharType="separate"/>
      </w:r>
      <w:r>
        <w:rPr>
          <w:rFonts w:ascii="Times New Roman" w:hAnsi="Times New Roman" w:cs="Times New Roman"/>
          <w:color w:val="000000"/>
          <w:kern w:val="0"/>
          <w:sz w:val="20"/>
          <w:szCs w:val="20"/>
        </w:rPr>
        <w:t>[16]</w:t>
      </w:r>
      <w:r>
        <w:rPr>
          <w:rFonts w:ascii="Times New Roman" w:hAnsi="Times New Roman"/>
          <w:sz w:val="20"/>
          <w:szCs w:val="20"/>
        </w:rPr>
        <w:fldChar w:fldCharType="end"/>
      </w:r>
      <w:r>
        <w:rPr>
          <w:rFonts w:ascii="Times New Roman" w:hAnsi="Times New Roman"/>
          <w:sz w:val="20"/>
          <w:szCs w:val="20"/>
        </w:rPr>
        <w:t>. As for the very specific problem we wish</w:t>
      </w:r>
      <w:r>
        <w:rPr>
          <w:rFonts w:ascii="Times New Roman" w:hAnsi="Times New Roman" w:hint="eastAsia"/>
          <w:sz w:val="20"/>
          <w:szCs w:val="20"/>
        </w:rPr>
        <w:t>ed</w:t>
      </w:r>
      <w:r>
        <w:rPr>
          <w:rFonts w:ascii="Times New Roman" w:hAnsi="Times New Roman"/>
          <w:sz w:val="20"/>
          <w:szCs w:val="20"/>
        </w:rPr>
        <w:t xml:space="preserve"> to tackle, Hong et al. found that elevati</w:t>
      </w:r>
      <w:r>
        <w:rPr>
          <w:rFonts w:ascii="Times New Roman" w:hAnsi="Times New Roman"/>
          <w:sz w:val="20"/>
          <w:szCs w:val="20"/>
        </w:rPr>
        <w:t>on of LDL-C was negatively associated with CACS&gt;0 in univaria</w:t>
      </w:r>
      <w:r>
        <w:rPr>
          <w:rFonts w:ascii="Times New Roman" w:hAnsi="Times New Roman" w:hint="eastAsia"/>
          <w:sz w:val="20"/>
          <w:szCs w:val="20"/>
        </w:rPr>
        <w:t>bl</w:t>
      </w:r>
      <w:r>
        <w:rPr>
          <w:rFonts w:ascii="Times New Roman" w:hAnsi="Times New Roman"/>
          <w:sz w:val="20"/>
          <w:szCs w:val="20"/>
        </w:rPr>
        <w:t>e analyses, despite the statistical insignificance of this association. Their study also found that association between elevation of LDL-C and neither CACS</w:t>
      </w:r>
      <w:r>
        <w:rPr>
          <w:rFonts w:ascii="Times New Roman" w:eastAsia="宋体" w:hAnsi="Times New Roman" w:cs="Times New Roman"/>
          <w:sz w:val="20"/>
          <w:szCs w:val="20"/>
        </w:rPr>
        <w:t>≥400 nor CAC≥90</w:t>
      </w:r>
      <w:r>
        <w:rPr>
          <w:rFonts w:ascii="Times New Roman" w:eastAsia="宋体" w:hAnsi="Times New Roman" w:cs="Times New Roman"/>
          <w:sz w:val="20"/>
          <w:szCs w:val="20"/>
          <w:vertAlign w:val="superscript"/>
        </w:rPr>
        <w:t>th</w:t>
      </w:r>
      <w:r>
        <w:rPr>
          <w:rFonts w:ascii="Times New Roman" w:eastAsia="宋体" w:hAnsi="Times New Roman" w:cs="Times New Roman"/>
          <w:sz w:val="20"/>
          <w:szCs w:val="20"/>
        </w:rPr>
        <w:t xml:space="preserve"> percentile </w:t>
      </w:r>
      <w:proofErr w:type="gramStart"/>
      <w:r>
        <w:rPr>
          <w:rFonts w:ascii="Times New Roman" w:eastAsia="宋体" w:hAnsi="Times New Roman" w:cs="Times New Roman"/>
          <w:sz w:val="20"/>
          <w:szCs w:val="20"/>
        </w:rPr>
        <w:t>were</w:t>
      </w:r>
      <w:proofErr w:type="gramEnd"/>
      <w:r>
        <w:rPr>
          <w:rFonts w:ascii="Times New Roman" w:eastAsia="宋体" w:hAnsi="Times New Roman" w:cs="Times New Roman"/>
          <w:sz w:val="20"/>
          <w:szCs w:val="20"/>
        </w:rPr>
        <w:t xml:space="preserve"> sta</w:t>
      </w:r>
      <w:r>
        <w:rPr>
          <w:rFonts w:ascii="Times New Roman" w:eastAsia="宋体" w:hAnsi="Times New Roman" w:cs="Times New Roman"/>
          <w:sz w:val="20"/>
          <w:szCs w:val="20"/>
        </w:rPr>
        <w:t>tistically significant.</w:t>
      </w:r>
      <w:r>
        <w:rPr>
          <w:rFonts w:ascii="Times New Roman" w:hAnsi="Times New Roman"/>
          <w:sz w:val="20"/>
          <w:szCs w:val="20"/>
        </w:rPr>
        <w:t xml:space="preserve"> </w:t>
      </w:r>
      <w:proofErr w:type="gramStart"/>
      <w:r>
        <w:rPr>
          <w:rFonts w:ascii="Times New Roman" w:hAnsi="Times New Roman"/>
          <w:sz w:val="20"/>
          <w:szCs w:val="20"/>
        </w:rPr>
        <w:t>A</w:t>
      </w:r>
      <w:proofErr w:type="gramEnd"/>
      <w:r>
        <w:rPr>
          <w:rFonts w:ascii="Times New Roman" w:hAnsi="Times New Roman"/>
          <w:sz w:val="20"/>
          <w:szCs w:val="20"/>
        </w:rPr>
        <w:t xml:space="preserve"> RCT involving 471 patients found no association between on-statin-treatment LDL-C and CAC progression (defined as percent change of the total CAC volume score) in the pooled population</w:t>
      </w:r>
      <w:r>
        <w:rPr>
          <w:rFonts w:ascii="Times New Roman" w:hAnsi="Times New Roman"/>
          <w:sz w:val="20"/>
          <w:szCs w:val="20"/>
        </w:rPr>
        <w:fldChar w:fldCharType="begin"/>
      </w:r>
      <w:r>
        <w:rPr>
          <w:rFonts w:ascii="Times New Roman" w:hAnsi="Times New Roman"/>
          <w:sz w:val="20"/>
          <w:szCs w:val="20"/>
        </w:rPr>
        <w:instrText xml:space="preserve"> ADDIN NE.Ref.{D1902E04-977F-489D-B0B9-FCFF2A7</w:instrText>
      </w:r>
      <w:r>
        <w:rPr>
          <w:rFonts w:ascii="Times New Roman" w:hAnsi="Times New Roman"/>
          <w:sz w:val="20"/>
          <w:szCs w:val="20"/>
        </w:rPr>
        <w:instrText>D66CB}</w:instrText>
      </w:r>
      <w:r>
        <w:rPr>
          <w:rFonts w:ascii="Times New Roman" w:hAnsi="Times New Roman"/>
          <w:sz w:val="20"/>
          <w:szCs w:val="20"/>
        </w:rPr>
        <w:fldChar w:fldCharType="separate"/>
      </w:r>
      <w:r>
        <w:rPr>
          <w:rFonts w:ascii="Times New Roman" w:hAnsi="Times New Roman" w:cs="Times New Roman"/>
          <w:color w:val="000000"/>
          <w:kern w:val="0"/>
          <w:sz w:val="20"/>
          <w:szCs w:val="20"/>
        </w:rPr>
        <w:t>[17]</w:t>
      </w:r>
      <w:r>
        <w:rPr>
          <w:rFonts w:ascii="Times New Roman" w:hAnsi="Times New Roman"/>
          <w:sz w:val="20"/>
          <w:szCs w:val="20"/>
        </w:rPr>
        <w:fldChar w:fldCharType="end"/>
      </w:r>
      <w:r>
        <w:rPr>
          <w:rFonts w:ascii="Times New Roman" w:hAnsi="Times New Roman"/>
          <w:sz w:val="20"/>
          <w:szCs w:val="20"/>
        </w:rPr>
        <w:t>. Given the close association between LDL-C and atherosclerosis, the close association between atherosclerosis and intimal calcification and the fact that CT scans predominantly reflect intimal calcification, LDL-C was included in our model</w:t>
      </w:r>
      <w:r>
        <w:rPr>
          <w:rFonts w:ascii="Times New Roman" w:hAnsi="Times New Roman" w:hint="eastAsia"/>
          <w:sz w:val="20"/>
          <w:szCs w:val="20"/>
        </w:rPr>
        <w:t>s</w:t>
      </w:r>
      <w:r>
        <w:rPr>
          <w:rFonts w:ascii="Times New Roman" w:hAnsi="Times New Roman"/>
          <w:sz w:val="20"/>
          <w:szCs w:val="20"/>
        </w:rPr>
        <w:t>.</w:t>
      </w:r>
    </w:p>
    <w:p w14:paraId="13D91304" w14:textId="738661E6"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hint="eastAsia"/>
          <w:b/>
          <w:bCs/>
          <w:sz w:val="20"/>
          <w:szCs w:val="20"/>
        </w:rPr>
        <w:t>I</w:t>
      </w:r>
      <w:r>
        <w:rPr>
          <w:rFonts w:ascii="Times New Roman" w:hAnsi="Times New Roman"/>
          <w:b/>
          <w:bCs/>
          <w:sz w:val="20"/>
          <w:szCs w:val="20"/>
        </w:rPr>
        <w:t>nteraction of smoking and LDL-C</w:t>
      </w:r>
      <w:r>
        <w:rPr>
          <w:rFonts w:ascii="Times New Roman" w:hAnsi="Times New Roman"/>
          <w:sz w:val="20"/>
          <w:szCs w:val="20"/>
        </w:rPr>
        <w:t xml:space="preserve">: Admittedly, despite the acknowledged contributions of both smoking and LDL-C to atherosclerosis, few studies have investigated their interaction or their respective effect on atherosclerosis or vascular calcification when </w:t>
      </w:r>
      <w:r>
        <w:rPr>
          <w:rFonts w:ascii="Times New Roman" w:hAnsi="Times New Roman"/>
          <w:sz w:val="20"/>
          <w:szCs w:val="20"/>
        </w:rPr>
        <w:t>stratified by the other predictor. A study, though, did reveal the interaction of the effects of smoking and LDL-C on the incidence of coronary heart disease (CHD)</w:t>
      </w:r>
      <w:r>
        <w:rPr>
          <w:rFonts w:ascii="Times New Roman" w:hAnsi="Times New Roman"/>
          <w:sz w:val="20"/>
          <w:szCs w:val="20"/>
        </w:rPr>
        <w:fldChar w:fldCharType="begin"/>
      </w:r>
      <w:r>
        <w:rPr>
          <w:rFonts w:ascii="Times New Roman" w:hAnsi="Times New Roman"/>
          <w:sz w:val="20"/>
          <w:szCs w:val="20"/>
        </w:rPr>
        <w:instrText xml:space="preserve"> ADDIN NE.Ref.{8A6030EA-4949-45C7-9D6C-C97EA72A4136}</w:instrText>
      </w:r>
      <w:r>
        <w:rPr>
          <w:rFonts w:ascii="Times New Roman" w:hAnsi="Times New Roman"/>
          <w:sz w:val="20"/>
          <w:szCs w:val="20"/>
        </w:rPr>
        <w:fldChar w:fldCharType="separate"/>
      </w:r>
      <w:r>
        <w:rPr>
          <w:rFonts w:ascii="Times New Roman" w:hAnsi="Times New Roman" w:cs="Times New Roman"/>
          <w:color w:val="000000"/>
          <w:kern w:val="0"/>
          <w:sz w:val="20"/>
          <w:szCs w:val="20"/>
        </w:rPr>
        <w:t>[18]</w:t>
      </w:r>
      <w:r>
        <w:rPr>
          <w:rFonts w:ascii="Times New Roman" w:hAnsi="Times New Roman"/>
          <w:sz w:val="20"/>
          <w:szCs w:val="20"/>
        </w:rPr>
        <w:fldChar w:fldCharType="end"/>
      </w:r>
      <w:r>
        <w:rPr>
          <w:rFonts w:ascii="Times New Roman" w:hAnsi="Times New Roman"/>
          <w:sz w:val="20"/>
          <w:szCs w:val="20"/>
        </w:rPr>
        <w:t>. Given the close correlation betw</w:t>
      </w:r>
      <w:r>
        <w:rPr>
          <w:rFonts w:ascii="Times New Roman" w:hAnsi="Times New Roman"/>
          <w:sz w:val="20"/>
          <w:szCs w:val="20"/>
        </w:rPr>
        <w:t>een CHD and coronary calcification, and the fact that both terms of current cigarette smoking and higher levels of LDL-C were statistically insignificant in our tentative multivariate logistic regression modelling had this interaction term</w:t>
      </w:r>
      <w:r>
        <w:rPr>
          <w:rFonts w:ascii="Times New Roman" w:hAnsi="Times New Roman"/>
          <w:sz w:val="20"/>
          <w:szCs w:val="20"/>
        </w:rPr>
        <w:t xml:space="preserve"> not </w:t>
      </w:r>
      <w:r>
        <w:rPr>
          <w:rFonts w:ascii="Times New Roman" w:hAnsi="Times New Roman"/>
          <w:sz w:val="20"/>
          <w:szCs w:val="20"/>
        </w:rPr>
        <w:t xml:space="preserve">been </w:t>
      </w:r>
      <w:r>
        <w:rPr>
          <w:rFonts w:ascii="Times New Roman" w:hAnsi="Times New Roman"/>
          <w:sz w:val="20"/>
          <w:szCs w:val="20"/>
        </w:rPr>
        <w:t>ad</w:t>
      </w:r>
      <w:r>
        <w:rPr>
          <w:rFonts w:ascii="Times New Roman" w:hAnsi="Times New Roman"/>
          <w:sz w:val="20"/>
          <w:szCs w:val="20"/>
        </w:rPr>
        <w:t xml:space="preserve">ded but were both statistically significant in the presence of this interaction term when </w:t>
      </w:r>
      <w:r>
        <w:rPr>
          <w:rFonts w:ascii="Times New Roman" w:hAnsi="Times New Roman" w:hint="eastAsia"/>
          <w:i/>
          <w:iCs/>
          <w:sz w:val="20"/>
          <w:szCs w:val="20"/>
        </w:rPr>
        <w:t>p</w:t>
      </w:r>
      <w:r>
        <w:rPr>
          <w:rFonts w:ascii="Times New Roman" w:hAnsi="Times New Roman"/>
          <w:sz w:val="20"/>
          <w:szCs w:val="20"/>
        </w:rPr>
        <w:t xml:space="preserve">&lt;0.1 was used as the level of statistical significance. The interaction term itself was statistically significant too in the multivariable </w:t>
      </w:r>
      <w:r>
        <w:rPr>
          <w:rFonts w:ascii="Times New Roman" w:hAnsi="Times New Roman"/>
          <w:sz w:val="20"/>
          <w:szCs w:val="20"/>
        </w:rPr>
        <w:lastRenderedPageBreak/>
        <w:t>regression model, as demo</w:t>
      </w:r>
      <w:r>
        <w:rPr>
          <w:rFonts w:ascii="Times New Roman" w:hAnsi="Times New Roman"/>
          <w:sz w:val="20"/>
          <w:szCs w:val="20"/>
        </w:rPr>
        <w:t>nstrated in Table 4.</w:t>
      </w:r>
    </w:p>
    <w:p w14:paraId="09BB3AD3" w14:textId="706A8776"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b/>
          <w:bCs/>
          <w:sz w:val="20"/>
          <w:szCs w:val="20"/>
        </w:rPr>
        <w:t>Current use of statins</w:t>
      </w:r>
      <w:r>
        <w:rPr>
          <w:rFonts w:ascii="Times New Roman" w:hAnsi="Times New Roman"/>
          <w:sz w:val="20"/>
          <w:szCs w:val="20"/>
        </w:rPr>
        <w:t>: This is defined as usage of statins within the past 7 days prior to taking CT exam. While statins have been proved to be beneficial to atherosclerosis, a large body of evidence suggest the positive association b</w:t>
      </w:r>
      <w:r>
        <w:rPr>
          <w:rFonts w:ascii="Times New Roman" w:hAnsi="Times New Roman"/>
          <w:sz w:val="20"/>
          <w:szCs w:val="20"/>
        </w:rPr>
        <w:t xml:space="preserve">etween statin and CAC. In 2012, </w:t>
      </w:r>
      <w:proofErr w:type="spellStart"/>
      <w:r>
        <w:rPr>
          <w:rFonts w:ascii="Times New Roman" w:hAnsi="Times New Roman"/>
          <w:sz w:val="20"/>
          <w:szCs w:val="20"/>
        </w:rPr>
        <w:t>Nakazato</w:t>
      </w:r>
      <w:proofErr w:type="spellEnd"/>
      <w:r>
        <w:rPr>
          <w:rFonts w:ascii="Times New Roman" w:hAnsi="Times New Roman"/>
          <w:sz w:val="20"/>
          <w:szCs w:val="20"/>
        </w:rPr>
        <w:t xml:space="preserve"> et al. found the association between increase in calcific plaques and statin therapy</w:t>
      </w:r>
      <w:r>
        <w:rPr>
          <w:rFonts w:ascii="Times New Roman" w:hAnsi="Times New Roman"/>
          <w:sz w:val="20"/>
          <w:szCs w:val="20"/>
        </w:rPr>
        <w:fldChar w:fldCharType="begin"/>
      </w:r>
      <w:r>
        <w:rPr>
          <w:rFonts w:ascii="Times New Roman" w:hAnsi="Times New Roman"/>
          <w:sz w:val="20"/>
          <w:szCs w:val="20"/>
        </w:rPr>
        <w:instrText xml:space="preserve"> ADDIN NE.Ref.{5ACAADC9-F050-4CCF-AAB5-72C0114B5399}</w:instrText>
      </w:r>
      <w:r>
        <w:rPr>
          <w:rFonts w:ascii="Times New Roman" w:hAnsi="Times New Roman"/>
          <w:sz w:val="20"/>
          <w:szCs w:val="20"/>
        </w:rPr>
        <w:fldChar w:fldCharType="separate"/>
      </w:r>
      <w:r>
        <w:rPr>
          <w:rFonts w:ascii="Times New Roman" w:hAnsi="Times New Roman" w:cs="Times New Roman"/>
          <w:color w:val="000000"/>
          <w:kern w:val="0"/>
          <w:sz w:val="20"/>
          <w:szCs w:val="20"/>
        </w:rPr>
        <w:t>[19]</w:t>
      </w:r>
      <w:r>
        <w:rPr>
          <w:rFonts w:ascii="Times New Roman" w:hAnsi="Times New Roman"/>
          <w:sz w:val="20"/>
          <w:szCs w:val="20"/>
        </w:rPr>
        <w:fldChar w:fldCharType="end"/>
      </w:r>
      <w:r>
        <w:rPr>
          <w:rFonts w:ascii="Times New Roman" w:hAnsi="Times New Roman"/>
          <w:sz w:val="20"/>
          <w:szCs w:val="20"/>
        </w:rPr>
        <w:t xml:space="preserve">. </w:t>
      </w:r>
      <w:r>
        <w:rPr>
          <w:rFonts w:ascii="Times New Roman" w:hAnsi="Times New Roman" w:hint="eastAsia"/>
          <w:sz w:val="20"/>
          <w:szCs w:val="20"/>
        </w:rPr>
        <w:t>In</w:t>
      </w:r>
      <w:r>
        <w:rPr>
          <w:rFonts w:ascii="Times New Roman" w:hAnsi="Times New Roman"/>
          <w:sz w:val="20"/>
          <w:szCs w:val="20"/>
        </w:rPr>
        <w:t xml:space="preserve"> 2015, a post-hoc analysis found that high-intensity statin therapy </w:t>
      </w:r>
      <w:r>
        <w:rPr>
          <w:rFonts w:ascii="Times New Roman" w:hAnsi="Times New Roman"/>
          <w:sz w:val="20"/>
          <w:szCs w:val="20"/>
        </w:rPr>
        <w:t>is associated with an increase in CAC, despite a reduction on the progression of plaques</w:t>
      </w:r>
      <w:r>
        <w:rPr>
          <w:rFonts w:ascii="Times New Roman" w:hAnsi="Times New Roman"/>
          <w:sz w:val="20"/>
          <w:szCs w:val="20"/>
        </w:rPr>
        <w:fldChar w:fldCharType="begin"/>
      </w:r>
      <w:r>
        <w:rPr>
          <w:rFonts w:ascii="Times New Roman" w:hAnsi="Times New Roman"/>
          <w:sz w:val="20"/>
          <w:szCs w:val="20"/>
        </w:rPr>
        <w:instrText xml:space="preserve"> ADDIN NE.Ref.{49AB0EB5-5997-4480-8510-A8A7E13D3E42}</w:instrText>
      </w:r>
      <w:r>
        <w:rPr>
          <w:rFonts w:ascii="Times New Roman" w:hAnsi="Times New Roman"/>
          <w:sz w:val="20"/>
          <w:szCs w:val="20"/>
        </w:rPr>
        <w:fldChar w:fldCharType="separate"/>
      </w:r>
      <w:r>
        <w:rPr>
          <w:rFonts w:ascii="Times New Roman" w:hAnsi="Times New Roman" w:cs="Times New Roman"/>
          <w:color w:val="000000"/>
          <w:kern w:val="0"/>
          <w:sz w:val="20"/>
          <w:szCs w:val="20"/>
        </w:rPr>
        <w:t>[20]</w:t>
      </w:r>
      <w:r>
        <w:rPr>
          <w:rFonts w:ascii="Times New Roman" w:hAnsi="Times New Roman"/>
          <w:sz w:val="20"/>
          <w:szCs w:val="20"/>
        </w:rPr>
        <w:fldChar w:fldCharType="end"/>
      </w:r>
      <w:r>
        <w:rPr>
          <w:rFonts w:ascii="Times New Roman" w:hAnsi="Times New Roman"/>
          <w:sz w:val="20"/>
          <w:szCs w:val="20"/>
        </w:rPr>
        <w:t xml:space="preserve">. Our study found that statins </w:t>
      </w:r>
      <w:r>
        <w:rPr>
          <w:rFonts w:ascii="Times New Roman" w:hAnsi="Times New Roman" w:hint="eastAsia"/>
          <w:sz w:val="20"/>
          <w:szCs w:val="20"/>
        </w:rPr>
        <w:t>wa</w:t>
      </w:r>
      <w:r>
        <w:rPr>
          <w:rFonts w:ascii="Times New Roman" w:hAnsi="Times New Roman"/>
          <w:sz w:val="20"/>
          <w:szCs w:val="20"/>
        </w:rPr>
        <w:t>s statistically significantly associated with CACS&gt;0 in both univaria</w:t>
      </w:r>
      <w:r>
        <w:rPr>
          <w:rFonts w:ascii="Times New Roman" w:hAnsi="Times New Roman" w:hint="eastAsia"/>
          <w:sz w:val="20"/>
          <w:szCs w:val="20"/>
        </w:rPr>
        <w:t>bl</w:t>
      </w:r>
      <w:r>
        <w:rPr>
          <w:rFonts w:ascii="Times New Roman" w:hAnsi="Times New Roman"/>
          <w:sz w:val="20"/>
          <w:szCs w:val="20"/>
        </w:rPr>
        <w:t xml:space="preserve">e </w:t>
      </w:r>
      <w:r>
        <w:rPr>
          <w:rFonts w:ascii="Times New Roman" w:hAnsi="Times New Roman"/>
          <w:sz w:val="20"/>
          <w:szCs w:val="20"/>
        </w:rPr>
        <w:t>and multivaria</w:t>
      </w:r>
      <w:r>
        <w:rPr>
          <w:rFonts w:ascii="Times New Roman" w:hAnsi="Times New Roman" w:hint="eastAsia"/>
          <w:sz w:val="20"/>
          <w:szCs w:val="20"/>
        </w:rPr>
        <w:t>bl</w:t>
      </w:r>
      <w:r>
        <w:rPr>
          <w:rFonts w:ascii="Times New Roman" w:hAnsi="Times New Roman"/>
          <w:sz w:val="20"/>
          <w:szCs w:val="20"/>
        </w:rPr>
        <w:t>e analyses. We therefore included use of statins in our model</w:t>
      </w:r>
      <w:r>
        <w:rPr>
          <w:rFonts w:ascii="Times New Roman" w:hAnsi="Times New Roman" w:hint="eastAsia"/>
          <w:sz w:val="20"/>
          <w:szCs w:val="20"/>
        </w:rPr>
        <w:t>s</w:t>
      </w:r>
      <w:r>
        <w:rPr>
          <w:rFonts w:ascii="Times New Roman" w:hAnsi="Times New Roman"/>
          <w:sz w:val="20"/>
          <w:szCs w:val="20"/>
        </w:rPr>
        <w:t>.</w:t>
      </w:r>
    </w:p>
    <w:p w14:paraId="6ECC773B"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hint="eastAsia"/>
          <w:b/>
          <w:bCs/>
          <w:sz w:val="20"/>
          <w:szCs w:val="20"/>
        </w:rPr>
        <w:t>G</w:t>
      </w:r>
      <w:r>
        <w:rPr>
          <w:rFonts w:ascii="Times New Roman" w:hAnsi="Times New Roman"/>
          <w:b/>
          <w:bCs/>
          <w:sz w:val="20"/>
          <w:szCs w:val="20"/>
        </w:rPr>
        <w:t>ender</w:t>
      </w:r>
      <w:r>
        <w:rPr>
          <w:rFonts w:ascii="Times New Roman" w:hAnsi="Times New Roman"/>
          <w:sz w:val="20"/>
          <w:szCs w:val="20"/>
        </w:rPr>
        <w:t xml:space="preserve">: Gender has been for a long time been recognized as a significant factor in vascular calcification. </w:t>
      </w:r>
      <w:proofErr w:type="spellStart"/>
      <w:r>
        <w:rPr>
          <w:rFonts w:ascii="Times New Roman" w:hAnsi="Times New Roman"/>
          <w:sz w:val="20"/>
          <w:szCs w:val="20"/>
        </w:rPr>
        <w:t>Kronmal</w:t>
      </w:r>
      <w:proofErr w:type="spellEnd"/>
      <w:r>
        <w:rPr>
          <w:rFonts w:ascii="Times New Roman" w:hAnsi="Times New Roman"/>
          <w:sz w:val="20"/>
          <w:szCs w:val="20"/>
        </w:rPr>
        <w:t xml:space="preserve"> et al. found that male gender was associated with the develo</w:t>
      </w:r>
      <w:r>
        <w:rPr>
          <w:rFonts w:ascii="Times New Roman" w:hAnsi="Times New Roman"/>
          <w:sz w:val="20"/>
          <w:szCs w:val="20"/>
        </w:rPr>
        <w:t>pment and progression of coronary calcification</w:t>
      </w:r>
      <w:r>
        <w:rPr>
          <w:rFonts w:ascii="Times New Roman" w:hAnsi="Times New Roman"/>
          <w:sz w:val="20"/>
          <w:szCs w:val="20"/>
        </w:rPr>
        <w:fldChar w:fldCharType="begin"/>
      </w:r>
      <w:r>
        <w:rPr>
          <w:rFonts w:ascii="Times New Roman" w:hAnsi="Times New Roman"/>
          <w:sz w:val="20"/>
          <w:szCs w:val="20"/>
        </w:rPr>
        <w:instrText xml:space="preserve"> ADDIN NE.Ref.{E5B2A9ED-781D-434C-8EFB-E9E7899F631D}</w:instrText>
      </w:r>
      <w:r>
        <w:rPr>
          <w:rFonts w:ascii="Times New Roman" w:hAnsi="Times New Roman"/>
          <w:sz w:val="20"/>
          <w:szCs w:val="20"/>
        </w:rPr>
        <w:fldChar w:fldCharType="separate"/>
      </w:r>
      <w:r>
        <w:rPr>
          <w:rFonts w:ascii="Times New Roman" w:hAnsi="Times New Roman" w:cs="Times New Roman"/>
          <w:color w:val="000000"/>
          <w:kern w:val="0"/>
          <w:sz w:val="20"/>
          <w:szCs w:val="20"/>
        </w:rPr>
        <w:t>[21]</w:t>
      </w:r>
      <w:r>
        <w:rPr>
          <w:rFonts w:ascii="Times New Roman" w:hAnsi="Times New Roman"/>
          <w:sz w:val="20"/>
          <w:szCs w:val="20"/>
        </w:rPr>
        <w:fldChar w:fldCharType="end"/>
      </w:r>
      <w:r>
        <w:rPr>
          <w:rFonts w:ascii="Times New Roman" w:hAnsi="Times New Roman"/>
          <w:sz w:val="20"/>
          <w:szCs w:val="20"/>
        </w:rPr>
        <w:t>. We therefore included gender in the model</w:t>
      </w:r>
      <w:r>
        <w:rPr>
          <w:rFonts w:ascii="Times New Roman" w:hAnsi="Times New Roman" w:hint="eastAsia"/>
          <w:sz w:val="20"/>
          <w:szCs w:val="20"/>
        </w:rPr>
        <w:t>s</w:t>
      </w:r>
      <w:r>
        <w:rPr>
          <w:rFonts w:ascii="Times New Roman" w:hAnsi="Times New Roman"/>
          <w:sz w:val="20"/>
          <w:szCs w:val="20"/>
        </w:rPr>
        <w:t>.</w:t>
      </w:r>
    </w:p>
    <w:p w14:paraId="350716AF" w14:textId="77777777" w:rsidR="00060E59" w:rsidRDefault="00682037">
      <w:pPr>
        <w:autoSpaceDE w:val="0"/>
        <w:autoSpaceDN w:val="0"/>
        <w:adjustRightInd w:val="0"/>
        <w:ind w:firstLineChars="200" w:firstLine="402"/>
        <w:rPr>
          <w:rFonts w:ascii="Times New Roman" w:eastAsia="宋体" w:hAnsi="Times New Roman"/>
          <w:sz w:val="20"/>
          <w:szCs w:val="20"/>
        </w:rPr>
      </w:pPr>
      <w:r>
        <w:rPr>
          <w:rFonts w:ascii="Times New Roman" w:eastAsia="宋体" w:hAnsi="Times New Roman" w:hint="eastAsia"/>
          <w:b/>
          <w:bCs/>
          <w:sz w:val="20"/>
          <w:szCs w:val="20"/>
        </w:rPr>
        <w:t>A</w:t>
      </w:r>
      <w:r>
        <w:rPr>
          <w:rFonts w:ascii="Times New Roman" w:eastAsia="宋体" w:hAnsi="Times New Roman"/>
          <w:b/>
          <w:bCs/>
          <w:sz w:val="20"/>
          <w:szCs w:val="20"/>
        </w:rPr>
        <w:t>ge</w:t>
      </w:r>
      <w:r>
        <w:rPr>
          <w:rFonts w:ascii="Times New Roman" w:eastAsia="宋体" w:hAnsi="Times New Roman"/>
          <w:sz w:val="20"/>
          <w:szCs w:val="20"/>
        </w:rPr>
        <w:t>: Increase in age is another long-recognized risk factor of vascular calcification. In the aforementi</w:t>
      </w:r>
      <w:r>
        <w:rPr>
          <w:rFonts w:ascii="Times New Roman" w:eastAsia="宋体" w:hAnsi="Times New Roman"/>
          <w:sz w:val="20"/>
          <w:szCs w:val="20"/>
        </w:rPr>
        <w:t xml:space="preserve">oned study conducted by </w:t>
      </w:r>
      <w:proofErr w:type="spellStart"/>
      <w:r>
        <w:rPr>
          <w:rFonts w:ascii="Times New Roman" w:eastAsia="宋体" w:hAnsi="Times New Roman"/>
          <w:sz w:val="20"/>
          <w:szCs w:val="20"/>
        </w:rPr>
        <w:t>Kronmal</w:t>
      </w:r>
      <w:proofErr w:type="spellEnd"/>
      <w:r>
        <w:rPr>
          <w:rFonts w:ascii="Times New Roman" w:eastAsia="宋体" w:hAnsi="Times New Roman"/>
          <w:sz w:val="20"/>
          <w:szCs w:val="20"/>
        </w:rPr>
        <w:t xml:space="preserve"> et al., they found the annual incidence of coronary calcification increases with age</w:t>
      </w:r>
      <w:r>
        <w:rPr>
          <w:rFonts w:ascii="Times New Roman" w:eastAsia="宋体" w:hAnsi="Times New Roman"/>
          <w:sz w:val="20"/>
          <w:szCs w:val="20"/>
        </w:rPr>
        <w:fldChar w:fldCharType="begin"/>
      </w:r>
      <w:r>
        <w:rPr>
          <w:rFonts w:ascii="Times New Roman" w:eastAsia="宋体" w:hAnsi="Times New Roman"/>
          <w:sz w:val="20"/>
          <w:szCs w:val="20"/>
        </w:rPr>
        <w:instrText xml:space="preserve"> ADDIN NE.Ref.{D0914F9A-054E-4E4E-B977-11AD2994A3DF}</w:instrText>
      </w:r>
      <w:r>
        <w:rPr>
          <w:rFonts w:ascii="Times New Roman" w:eastAsia="宋体" w:hAnsi="Times New Roman"/>
          <w:sz w:val="20"/>
          <w:szCs w:val="20"/>
        </w:rPr>
        <w:fldChar w:fldCharType="separate"/>
      </w:r>
      <w:r>
        <w:rPr>
          <w:rFonts w:ascii="Times New Roman" w:hAnsi="Times New Roman" w:cs="Times New Roman"/>
          <w:color w:val="000000"/>
          <w:kern w:val="0"/>
          <w:sz w:val="20"/>
          <w:szCs w:val="20"/>
        </w:rPr>
        <w:t>[21]</w:t>
      </w:r>
      <w:r>
        <w:rPr>
          <w:rFonts w:ascii="Times New Roman" w:eastAsia="宋体" w:hAnsi="Times New Roman"/>
          <w:sz w:val="20"/>
          <w:szCs w:val="20"/>
        </w:rPr>
        <w:fldChar w:fldCharType="end"/>
      </w:r>
      <w:r>
        <w:rPr>
          <w:rFonts w:ascii="Times New Roman" w:eastAsia="宋体" w:hAnsi="Times New Roman"/>
          <w:sz w:val="20"/>
          <w:szCs w:val="20"/>
        </w:rPr>
        <w:t>. We therefore included age in the model</w:t>
      </w:r>
      <w:r>
        <w:rPr>
          <w:rFonts w:ascii="Times New Roman" w:eastAsia="宋体" w:hAnsi="Times New Roman" w:hint="eastAsia"/>
          <w:sz w:val="20"/>
          <w:szCs w:val="20"/>
        </w:rPr>
        <w:t>s</w:t>
      </w:r>
      <w:r>
        <w:rPr>
          <w:rFonts w:ascii="Times New Roman" w:eastAsia="宋体" w:hAnsi="Times New Roman"/>
          <w:sz w:val="20"/>
          <w:szCs w:val="20"/>
        </w:rPr>
        <w:t>.</w:t>
      </w:r>
    </w:p>
    <w:p w14:paraId="6BFE01FA" w14:textId="02C447E2" w:rsidR="00060E59" w:rsidRDefault="00682037">
      <w:pPr>
        <w:autoSpaceDE w:val="0"/>
        <w:autoSpaceDN w:val="0"/>
        <w:adjustRightInd w:val="0"/>
        <w:ind w:firstLineChars="200" w:firstLine="402"/>
        <w:rPr>
          <w:rFonts w:ascii="Times New Roman" w:hAnsi="Times New Roman"/>
          <w:sz w:val="20"/>
          <w:szCs w:val="20"/>
        </w:rPr>
      </w:pPr>
      <w:r>
        <w:rPr>
          <w:rFonts w:ascii="Times New Roman" w:eastAsia="宋体" w:hAnsi="Times New Roman" w:hint="eastAsia"/>
          <w:b/>
          <w:bCs/>
          <w:sz w:val="20"/>
          <w:szCs w:val="20"/>
        </w:rPr>
        <w:t>D</w:t>
      </w:r>
      <w:r>
        <w:rPr>
          <w:rFonts w:ascii="Times New Roman" w:eastAsia="宋体" w:hAnsi="Times New Roman"/>
          <w:b/>
          <w:bCs/>
          <w:sz w:val="20"/>
          <w:szCs w:val="20"/>
        </w:rPr>
        <w:t>iabetes</w:t>
      </w:r>
      <w:r>
        <w:rPr>
          <w:rFonts w:ascii="Times New Roman" w:eastAsia="宋体" w:hAnsi="Times New Roman"/>
          <w:sz w:val="20"/>
          <w:szCs w:val="20"/>
        </w:rPr>
        <w:t xml:space="preserve">: As </w:t>
      </w:r>
      <w:r>
        <w:rPr>
          <w:rFonts w:ascii="Times New Roman" w:eastAsia="宋体" w:hAnsi="Times New Roman"/>
          <w:sz w:val="20"/>
          <w:szCs w:val="20"/>
        </w:rPr>
        <w:t xml:space="preserve">demonstrated earlier, diabetes is a risk factor of </w:t>
      </w:r>
      <w:r>
        <w:rPr>
          <w:rFonts w:ascii="Times New Roman" w:eastAsia="宋体" w:hAnsi="Times New Roman" w:hint="eastAsia"/>
          <w:sz w:val="20"/>
          <w:szCs w:val="20"/>
        </w:rPr>
        <w:t xml:space="preserve">vascular </w:t>
      </w:r>
      <w:r>
        <w:rPr>
          <w:rFonts w:ascii="Times New Roman" w:eastAsia="宋体" w:hAnsi="Times New Roman"/>
          <w:sz w:val="20"/>
          <w:szCs w:val="20"/>
        </w:rPr>
        <w:t xml:space="preserve">calcification. </w:t>
      </w:r>
      <w:r>
        <w:rPr>
          <w:rFonts w:ascii="Times New Roman" w:eastAsia="宋体" w:hAnsi="Times New Roman"/>
          <w:sz w:val="20"/>
          <w:szCs w:val="20"/>
        </w:rPr>
        <w:t>The aforementioned stud</w:t>
      </w:r>
      <w:r>
        <w:rPr>
          <w:rFonts w:ascii="Times New Roman" w:eastAsia="宋体" w:hAnsi="Times New Roman"/>
          <w:sz w:val="20"/>
          <w:szCs w:val="20"/>
        </w:rPr>
        <w:t xml:space="preserve">y by </w:t>
      </w:r>
      <w:proofErr w:type="spellStart"/>
      <w:r>
        <w:rPr>
          <w:rFonts w:ascii="Times New Roman" w:eastAsia="宋体" w:hAnsi="Times New Roman"/>
          <w:sz w:val="20"/>
          <w:szCs w:val="20"/>
        </w:rPr>
        <w:t>Kronmal</w:t>
      </w:r>
      <w:proofErr w:type="spellEnd"/>
      <w:r>
        <w:rPr>
          <w:rFonts w:ascii="Times New Roman" w:eastAsia="宋体" w:hAnsi="Times New Roman"/>
          <w:sz w:val="20"/>
          <w:szCs w:val="20"/>
        </w:rPr>
        <w:t xml:space="preserve"> et al. also found that diabetes </w:t>
      </w:r>
      <w:r>
        <w:rPr>
          <w:rFonts w:ascii="Times New Roman" w:hAnsi="Times New Roman"/>
          <w:sz w:val="20"/>
          <w:szCs w:val="20"/>
        </w:rPr>
        <w:t>was associated with the development and progression of coronary calcification</w:t>
      </w:r>
      <w:r>
        <w:rPr>
          <w:rFonts w:ascii="Times New Roman" w:hAnsi="Times New Roman"/>
          <w:sz w:val="20"/>
          <w:szCs w:val="20"/>
        </w:rPr>
        <w:fldChar w:fldCharType="begin"/>
      </w:r>
      <w:r>
        <w:rPr>
          <w:rFonts w:ascii="Times New Roman" w:hAnsi="Times New Roman"/>
          <w:sz w:val="20"/>
          <w:szCs w:val="20"/>
        </w:rPr>
        <w:instrText xml:space="preserve"> ADDIN NE.Ref.{C8BCCD87-FF36-4B60-B2E2-254E210EFCF9}</w:instrText>
      </w:r>
      <w:r>
        <w:rPr>
          <w:rFonts w:ascii="Times New Roman" w:hAnsi="Times New Roman"/>
          <w:sz w:val="20"/>
          <w:szCs w:val="20"/>
        </w:rPr>
        <w:fldChar w:fldCharType="separate"/>
      </w:r>
      <w:r>
        <w:rPr>
          <w:rFonts w:ascii="Times New Roman" w:hAnsi="Times New Roman" w:cs="Times New Roman"/>
          <w:color w:val="000000"/>
          <w:kern w:val="0"/>
          <w:sz w:val="20"/>
          <w:szCs w:val="20"/>
        </w:rPr>
        <w:t>[21]</w:t>
      </w:r>
      <w:r>
        <w:rPr>
          <w:rFonts w:ascii="Times New Roman" w:hAnsi="Times New Roman"/>
          <w:sz w:val="20"/>
          <w:szCs w:val="20"/>
        </w:rPr>
        <w:fldChar w:fldCharType="end"/>
      </w:r>
      <w:r>
        <w:rPr>
          <w:rFonts w:ascii="Times New Roman" w:hAnsi="Times New Roman"/>
          <w:sz w:val="20"/>
          <w:szCs w:val="20"/>
        </w:rPr>
        <w:t>.</w:t>
      </w:r>
      <w:r>
        <w:rPr>
          <w:rFonts w:ascii="Times New Roman" w:hAnsi="Times New Roman" w:hint="eastAsia"/>
          <w:sz w:val="20"/>
          <w:szCs w:val="20"/>
        </w:rPr>
        <w:t xml:space="preserve"> It was therefore included in the models.</w:t>
      </w:r>
    </w:p>
    <w:p w14:paraId="0A9EBBD3" w14:textId="7E417523"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b/>
          <w:bCs/>
          <w:sz w:val="20"/>
          <w:szCs w:val="20"/>
        </w:rPr>
        <w:t>Current use of aspirin</w:t>
      </w:r>
      <w:r>
        <w:rPr>
          <w:rFonts w:ascii="Times New Roman" w:hAnsi="Times New Roman"/>
          <w:sz w:val="20"/>
          <w:szCs w:val="20"/>
        </w:rPr>
        <w:t xml:space="preserve">: This is </w:t>
      </w:r>
      <w:r>
        <w:rPr>
          <w:rFonts w:ascii="Times New Roman" w:hAnsi="Times New Roman"/>
          <w:sz w:val="20"/>
          <w:szCs w:val="20"/>
        </w:rPr>
        <w:t xml:space="preserve">defined as usage of aspirin within the past 7 days prior to taking CT exam. We have repetitively pointed out the correlation between atherosclerosis and intimal calcification. Aspirin is prescribed to patients with increased cardiovascular risk, including </w:t>
      </w:r>
      <w:r>
        <w:rPr>
          <w:rFonts w:ascii="Times New Roman" w:hAnsi="Times New Roman"/>
          <w:sz w:val="20"/>
          <w:szCs w:val="20"/>
        </w:rPr>
        <w:t>those with d</w:t>
      </w:r>
      <w:r>
        <w:rPr>
          <w:rFonts w:ascii="Times New Roman" w:hAnsi="Times New Roman" w:hint="eastAsia"/>
          <w:sz w:val="20"/>
          <w:szCs w:val="20"/>
        </w:rPr>
        <w:t>y</w:t>
      </w:r>
      <w:r>
        <w:rPr>
          <w:rFonts w:ascii="Times New Roman" w:hAnsi="Times New Roman"/>
          <w:sz w:val="20"/>
          <w:szCs w:val="20"/>
        </w:rPr>
        <w:t xml:space="preserve">slipidemia, diabetes and established </w:t>
      </w:r>
      <w:bookmarkStart w:id="1" w:name="OLE_LINK1"/>
      <w:r>
        <w:rPr>
          <w:rFonts w:ascii="Times New Roman" w:hAnsi="Times New Roman"/>
          <w:sz w:val="20"/>
          <w:szCs w:val="20"/>
        </w:rPr>
        <w:t xml:space="preserve">atherosclerotic </w:t>
      </w:r>
      <w:r>
        <w:rPr>
          <w:rFonts w:ascii="Times New Roman" w:hAnsi="Times New Roman"/>
          <w:sz w:val="20"/>
          <w:szCs w:val="20"/>
        </w:rPr>
        <w:t>cardiovascular</w:t>
      </w:r>
      <w:r>
        <w:rPr>
          <w:rFonts w:ascii="Times New Roman" w:hAnsi="Times New Roman" w:hint="eastAsia"/>
          <w:sz w:val="20"/>
          <w:szCs w:val="20"/>
        </w:rPr>
        <w:t xml:space="preserve"> </w:t>
      </w:r>
      <w:r>
        <w:rPr>
          <w:rFonts w:ascii="Times New Roman" w:hAnsi="Times New Roman"/>
          <w:sz w:val="20"/>
          <w:szCs w:val="20"/>
        </w:rPr>
        <w:t>diseases</w:t>
      </w:r>
      <w:bookmarkEnd w:id="1"/>
      <w:r>
        <w:rPr>
          <w:rFonts w:ascii="Times New Roman" w:hAnsi="Times New Roman"/>
          <w:sz w:val="20"/>
          <w:szCs w:val="20"/>
        </w:rPr>
        <w:t xml:space="preserve"> (e.g., CHD). It therefore serve</w:t>
      </w:r>
      <w:r>
        <w:rPr>
          <w:rFonts w:ascii="Times New Roman" w:hAnsi="Times New Roman" w:hint="eastAsia"/>
          <w:sz w:val="20"/>
          <w:szCs w:val="20"/>
        </w:rPr>
        <w:t>d</w:t>
      </w:r>
      <w:r>
        <w:rPr>
          <w:rFonts w:ascii="Times New Roman" w:hAnsi="Times New Roman"/>
          <w:sz w:val="20"/>
          <w:szCs w:val="20"/>
        </w:rPr>
        <w:t xml:space="preserve"> as a surrogate of </w:t>
      </w:r>
      <w:r>
        <w:rPr>
          <w:rFonts w:ascii="Times New Roman" w:hAnsi="Times New Roman"/>
          <w:sz w:val="20"/>
          <w:szCs w:val="20"/>
        </w:rPr>
        <w:t>atherosclerotic cardiovascular</w:t>
      </w:r>
      <w:r>
        <w:rPr>
          <w:rFonts w:ascii="Times New Roman" w:hAnsi="Times New Roman" w:hint="eastAsia"/>
          <w:sz w:val="20"/>
          <w:szCs w:val="20"/>
        </w:rPr>
        <w:t xml:space="preserve"> </w:t>
      </w:r>
      <w:r>
        <w:rPr>
          <w:rFonts w:ascii="Times New Roman" w:hAnsi="Times New Roman"/>
          <w:sz w:val="20"/>
          <w:szCs w:val="20"/>
        </w:rPr>
        <w:t xml:space="preserve">diseases </w:t>
      </w:r>
      <w:r>
        <w:rPr>
          <w:rFonts w:ascii="Times New Roman" w:hAnsi="Times New Roman" w:hint="eastAsia"/>
          <w:sz w:val="20"/>
          <w:szCs w:val="20"/>
        </w:rPr>
        <w:t>(ASCVDs</w:t>
      </w:r>
      <w:r>
        <w:rPr>
          <w:rFonts w:ascii="Times New Roman" w:hAnsi="Times New Roman" w:hint="eastAsia"/>
          <w:sz w:val="20"/>
          <w:szCs w:val="20"/>
        </w:rPr>
        <w:t xml:space="preserve">) </w:t>
      </w:r>
      <w:r>
        <w:rPr>
          <w:rFonts w:ascii="Times New Roman" w:hAnsi="Times New Roman" w:hint="eastAsia"/>
          <w:sz w:val="20"/>
          <w:szCs w:val="20"/>
        </w:rPr>
        <w:t xml:space="preserve">like </w:t>
      </w:r>
      <w:r>
        <w:rPr>
          <w:rFonts w:ascii="Times New Roman" w:hAnsi="Times New Roman"/>
          <w:sz w:val="20"/>
          <w:szCs w:val="20"/>
        </w:rPr>
        <w:t>CHD and a marker of coexistence of cardiovascular risk facto</w:t>
      </w:r>
      <w:r>
        <w:rPr>
          <w:rFonts w:ascii="Times New Roman" w:hAnsi="Times New Roman"/>
          <w:sz w:val="20"/>
          <w:szCs w:val="20"/>
        </w:rPr>
        <w:t xml:space="preserve">rs. We noticed from clinical practice that self-reported history of CHD is not always accurate, as some patients were diagnosed of CHD without undergoing </w:t>
      </w:r>
      <w:r>
        <w:rPr>
          <w:rFonts w:ascii="Times New Roman" w:hAnsi="Times New Roman" w:hint="eastAsia"/>
          <w:sz w:val="20"/>
          <w:szCs w:val="20"/>
        </w:rPr>
        <w:t>coronary computed tomography angiography</w:t>
      </w:r>
      <w:r>
        <w:rPr>
          <w:rFonts w:ascii="Times New Roman" w:hAnsi="Times New Roman"/>
          <w:sz w:val="20"/>
          <w:szCs w:val="20"/>
        </w:rPr>
        <w:t xml:space="preserve"> </w:t>
      </w:r>
      <w:r>
        <w:rPr>
          <w:rFonts w:ascii="Times New Roman" w:hAnsi="Times New Roman"/>
          <w:sz w:val="20"/>
          <w:szCs w:val="20"/>
        </w:rPr>
        <w:t xml:space="preserve">or coronary </w:t>
      </w:r>
      <w:r>
        <w:rPr>
          <w:rFonts w:ascii="Times New Roman" w:hAnsi="Times New Roman" w:hint="eastAsia"/>
          <w:sz w:val="20"/>
          <w:szCs w:val="20"/>
        </w:rPr>
        <w:t>digital subtraction angiography</w:t>
      </w:r>
      <w:r>
        <w:rPr>
          <w:rFonts w:ascii="Times New Roman" w:hAnsi="Times New Roman"/>
          <w:sz w:val="20"/>
          <w:szCs w:val="20"/>
        </w:rPr>
        <w:t xml:space="preserve">, which </w:t>
      </w:r>
      <w:r>
        <w:rPr>
          <w:rFonts w:ascii="Times New Roman" w:hAnsi="Times New Roman"/>
          <w:sz w:val="20"/>
          <w:szCs w:val="20"/>
        </w:rPr>
        <w:t>may be proved to be misdiagnoses. This impairs the utility of our prediction model when our model is applied to clinical settings other than that in our hospital had we directly put CHD in our model</w:t>
      </w:r>
      <w:r>
        <w:rPr>
          <w:rFonts w:ascii="Times New Roman" w:hAnsi="Times New Roman" w:hint="eastAsia"/>
          <w:sz w:val="20"/>
          <w:szCs w:val="20"/>
        </w:rPr>
        <w:t>s</w:t>
      </w:r>
      <w:r>
        <w:rPr>
          <w:rFonts w:ascii="Times New Roman" w:hAnsi="Times New Roman"/>
          <w:sz w:val="20"/>
          <w:szCs w:val="20"/>
        </w:rPr>
        <w:t>. Aspirin has been so famous and popular that according t</w:t>
      </w:r>
      <w:r>
        <w:rPr>
          <w:rFonts w:ascii="Times New Roman" w:hAnsi="Times New Roman"/>
          <w:sz w:val="20"/>
          <w:szCs w:val="20"/>
        </w:rPr>
        <w:t xml:space="preserve">o our observation and experience in clinical practice, even patients with limited literacy know this medication and whether he or she is taking it right now. Substituting aspirin for certain names of </w:t>
      </w:r>
      <w:r>
        <w:rPr>
          <w:rFonts w:ascii="Times New Roman" w:hAnsi="Times New Roman" w:hint="eastAsia"/>
          <w:sz w:val="20"/>
          <w:szCs w:val="20"/>
        </w:rPr>
        <w:t>ASCVDs</w:t>
      </w:r>
      <w:r>
        <w:rPr>
          <w:rFonts w:ascii="Times New Roman" w:hAnsi="Times New Roman"/>
          <w:sz w:val="20"/>
          <w:szCs w:val="20"/>
        </w:rPr>
        <w:t xml:space="preserve"> or other risk factors enh</w:t>
      </w:r>
      <w:r>
        <w:rPr>
          <w:rFonts w:ascii="Times New Roman" w:hAnsi="Times New Roman"/>
          <w:sz w:val="20"/>
          <w:szCs w:val="20"/>
        </w:rPr>
        <w:t xml:space="preserve">ances </w:t>
      </w:r>
      <w:r>
        <w:rPr>
          <w:rFonts w:ascii="Times New Roman" w:hAnsi="Times New Roman" w:hint="eastAsia"/>
          <w:sz w:val="20"/>
          <w:szCs w:val="20"/>
        </w:rPr>
        <w:t>the</w:t>
      </w:r>
      <w:r>
        <w:rPr>
          <w:rFonts w:ascii="Times New Roman" w:hAnsi="Times New Roman"/>
          <w:sz w:val="20"/>
          <w:szCs w:val="20"/>
        </w:rPr>
        <w:t xml:space="preserve"> generalizability </w:t>
      </w:r>
      <w:r>
        <w:rPr>
          <w:rFonts w:ascii="Times New Roman" w:hAnsi="Times New Roman" w:hint="eastAsia"/>
          <w:sz w:val="20"/>
          <w:szCs w:val="20"/>
        </w:rPr>
        <w:t>of models by making the variables easier to understand for</w:t>
      </w:r>
      <w:r>
        <w:rPr>
          <w:rFonts w:ascii="Times New Roman" w:hAnsi="Times New Roman"/>
          <w:sz w:val="20"/>
          <w:szCs w:val="20"/>
        </w:rPr>
        <w:t xml:space="preserve"> a broader range of population</w:t>
      </w:r>
      <w:r>
        <w:rPr>
          <w:rFonts w:ascii="Times New Roman" w:hAnsi="Times New Roman" w:hint="eastAsia"/>
          <w:sz w:val="20"/>
          <w:szCs w:val="20"/>
        </w:rPr>
        <w:t>s</w:t>
      </w:r>
      <w:r>
        <w:rPr>
          <w:rFonts w:ascii="Times New Roman" w:hAnsi="Times New Roman"/>
          <w:sz w:val="20"/>
          <w:szCs w:val="20"/>
        </w:rPr>
        <w:t>.</w:t>
      </w:r>
    </w:p>
    <w:p w14:paraId="069845A1" w14:textId="7AB1EA18"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hint="eastAsia"/>
          <w:b/>
          <w:bCs/>
          <w:sz w:val="20"/>
          <w:szCs w:val="20"/>
        </w:rPr>
        <w:t>E</w:t>
      </w:r>
      <w:r>
        <w:rPr>
          <w:rFonts w:ascii="Times New Roman" w:hAnsi="Times New Roman"/>
          <w:b/>
          <w:bCs/>
          <w:sz w:val="20"/>
          <w:szCs w:val="20"/>
        </w:rPr>
        <w:t>stimated glomerular filtration rate</w:t>
      </w:r>
      <w:r>
        <w:rPr>
          <w:rFonts w:ascii="Times New Roman" w:hAnsi="Times New Roman"/>
          <w:sz w:val="20"/>
          <w:szCs w:val="20"/>
        </w:rPr>
        <w:t xml:space="preserve">: </w:t>
      </w:r>
      <w:r>
        <w:rPr>
          <w:rFonts w:ascii="Times New Roman" w:hAnsi="Times New Roman" w:hint="eastAsia"/>
          <w:sz w:val="20"/>
          <w:szCs w:val="20"/>
        </w:rPr>
        <w:t>M</w:t>
      </w:r>
      <w:r>
        <w:rPr>
          <w:rFonts w:ascii="Times New Roman" w:hAnsi="Times New Roman"/>
          <w:sz w:val="20"/>
          <w:szCs w:val="20"/>
        </w:rPr>
        <w:t xml:space="preserve">edial calcification is a hallmark of </w:t>
      </w:r>
      <w:r>
        <w:rPr>
          <w:rFonts w:ascii="Times New Roman" w:hAnsi="Times New Roman"/>
          <w:sz w:val="20"/>
          <w:szCs w:val="20"/>
        </w:rPr>
        <w:t>CKD</w:t>
      </w:r>
      <w:r>
        <w:rPr>
          <w:rFonts w:ascii="Times New Roman" w:hAnsi="Times New Roman"/>
          <w:sz w:val="20"/>
          <w:szCs w:val="20"/>
        </w:rPr>
        <w:fldChar w:fldCharType="begin"/>
      </w:r>
      <w:r>
        <w:rPr>
          <w:rFonts w:ascii="Times New Roman" w:hAnsi="Times New Roman"/>
          <w:sz w:val="20"/>
          <w:szCs w:val="20"/>
        </w:rPr>
        <w:instrText xml:space="preserve"> ADDIN NE.Ref.{5E19392F-3392-4</w:instrText>
      </w:r>
      <w:r>
        <w:rPr>
          <w:rFonts w:ascii="Times New Roman" w:hAnsi="Times New Roman"/>
          <w:sz w:val="20"/>
          <w:szCs w:val="20"/>
        </w:rPr>
        <w:instrText>539-B988-C7A8E01257CB}</w:instrText>
      </w:r>
      <w:r>
        <w:rPr>
          <w:rFonts w:ascii="Times New Roman" w:hAnsi="Times New Roman"/>
          <w:sz w:val="20"/>
          <w:szCs w:val="20"/>
        </w:rPr>
        <w:fldChar w:fldCharType="separate"/>
      </w:r>
      <w:r>
        <w:rPr>
          <w:rFonts w:ascii="Times New Roman" w:hAnsi="Times New Roman" w:cs="Times New Roman"/>
          <w:color w:val="000000"/>
          <w:kern w:val="0"/>
          <w:sz w:val="20"/>
          <w:szCs w:val="20"/>
        </w:rPr>
        <w:t>[22]</w:t>
      </w:r>
      <w:r>
        <w:rPr>
          <w:rFonts w:ascii="Times New Roman" w:hAnsi="Times New Roman"/>
          <w:sz w:val="20"/>
          <w:szCs w:val="20"/>
        </w:rPr>
        <w:fldChar w:fldCharType="end"/>
      </w:r>
      <w:r>
        <w:rPr>
          <w:rFonts w:ascii="Times New Roman" w:hAnsi="Times New Roman"/>
          <w:sz w:val="20"/>
          <w:szCs w:val="20"/>
        </w:rPr>
        <w:t xml:space="preserve">. </w:t>
      </w:r>
      <w:r>
        <w:rPr>
          <w:rFonts w:ascii="Times New Roman" w:hAnsi="Times New Roman"/>
          <w:sz w:val="20"/>
          <w:szCs w:val="20"/>
        </w:rPr>
        <w:t>CACS&gt;100</w:t>
      </w:r>
      <w:r>
        <w:rPr>
          <w:rFonts w:ascii="Times New Roman" w:hAnsi="Times New Roman"/>
          <w:sz w:val="20"/>
          <w:szCs w:val="20"/>
        </w:rPr>
        <w:t xml:space="preserve"> </w:t>
      </w:r>
      <w:r>
        <w:rPr>
          <w:rFonts w:ascii="Times New Roman" w:hAnsi="Times New Roman" w:hint="eastAsia"/>
          <w:sz w:val="20"/>
          <w:szCs w:val="20"/>
        </w:rPr>
        <w:t>h</w:t>
      </w:r>
      <w:r>
        <w:rPr>
          <w:rFonts w:ascii="Times New Roman" w:hAnsi="Times New Roman"/>
          <w:sz w:val="20"/>
          <w:szCs w:val="20"/>
        </w:rPr>
        <w:t xml:space="preserve">as </w:t>
      </w:r>
      <w:r>
        <w:rPr>
          <w:rFonts w:ascii="Times New Roman" w:hAnsi="Times New Roman" w:hint="eastAsia"/>
          <w:sz w:val="20"/>
          <w:szCs w:val="20"/>
        </w:rPr>
        <w:t xml:space="preserve">been found to </w:t>
      </w:r>
      <w:r>
        <w:rPr>
          <w:rFonts w:ascii="Times New Roman" w:hAnsi="Times New Roman"/>
          <w:sz w:val="20"/>
          <w:szCs w:val="20"/>
        </w:rPr>
        <w:t>associate</w:t>
      </w:r>
      <w:r>
        <w:rPr>
          <w:rFonts w:ascii="Times New Roman" w:hAnsi="Times New Roman"/>
          <w:sz w:val="20"/>
          <w:szCs w:val="20"/>
        </w:rPr>
        <w:t xml:space="preserve"> with lower eGFR in a Korean population of 1,533 patients</w:t>
      </w:r>
      <w:r>
        <w:rPr>
          <w:rFonts w:ascii="Times New Roman" w:hAnsi="Times New Roman"/>
          <w:sz w:val="20"/>
          <w:szCs w:val="20"/>
        </w:rPr>
        <w:fldChar w:fldCharType="begin"/>
      </w:r>
      <w:r>
        <w:rPr>
          <w:rFonts w:ascii="Times New Roman" w:hAnsi="Times New Roman"/>
          <w:sz w:val="20"/>
          <w:szCs w:val="20"/>
        </w:rPr>
        <w:instrText xml:space="preserve"> ADDIN NE.Ref.{5BA34CE5-AEB9-4A57-AE3E-FB5BA1BB1255}</w:instrText>
      </w:r>
      <w:r>
        <w:rPr>
          <w:rFonts w:ascii="Times New Roman" w:hAnsi="Times New Roman"/>
          <w:sz w:val="20"/>
          <w:szCs w:val="20"/>
        </w:rPr>
        <w:fldChar w:fldCharType="separate"/>
      </w:r>
      <w:r>
        <w:rPr>
          <w:rFonts w:ascii="Times New Roman" w:hAnsi="Times New Roman" w:cs="Times New Roman"/>
          <w:color w:val="000000"/>
          <w:kern w:val="0"/>
          <w:sz w:val="20"/>
          <w:szCs w:val="20"/>
        </w:rPr>
        <w:t>[23]</w:t>
      </w:r>
      <w:r>
        <w:rPr>
          <w:rFonts w:ascii="Times New Roman" w:hAnsi="Times New Roman"/>
          <w:sz w:val="20"/>
          <w:szCs w:val="20"/>
        </w:rPr>
        <w:fldChar w:fldCharType="end"/>
      </w:r>
      <w:r>
        <w:rPr>
          <w:rFonts w:ascii="Times New Roman" w:hAnsi="Times New Roman"/>
          <w:sz w:val="20"/>
          <w:szCs w:val="20"/>
        </w:rPr>
        <w:t xml:space="preserve">. In the Rotterdam Study, </w:t>
      </w:r>
      <w:r>
        <w:rPr>
          <w:rFonts w:ascii="Times New Roman" w:hAnsi="Times New Roman"/>
          <w:sz w:val="20"/>
          <w:szCs w:val="20"/>
        </w:rPr>
        <w:t>association between decreased eGFR and increased CACS in the subpopulation of patients aged 70 years or older</w:t>
      </w:r>
      <w:r>
        <w:rPr>
          <w:rFonts w:ascii="Times New Roman" w:hAnsi="Times New Roman" w:hint="eastAsia"/>
          <w:sz w:val="20"/>
          <w:szCs w:val="20"/>
        </w:rPr>
        <w:t xml:space="preserve"> was found</w:t>
      </w:r>
      <w:r>
        <w:rPr>
          <w:rFonts w:ascii="Times New Roman" w:hAnsi="Times New Roman"/>
          <w:sz w:val="20"/>
          <w:szCs w:val="20"/>
        </w:rPr>
        <w:fldChar w:fldCharType="begin"/>
      </w:r>
      <w:r>
        <w:rPr>
          <w:rFonts w:ascii="Times New Roman" w:hAnsi="Times New Roman"/>
          <w:sz w:val="20"/>
          <w:szCs w:val="20"/>
        </w:rPr>
        <w:instrText xml:space="preserve"> ADDIN NE.Ref.{F4767EFC-14EF-4E08-A391-0A3F0A962939}</w:instrText>
      </w:r>
      <w:r>
        <w:rPr>
          <w:rFonts w:ascii="Times New Roman" w:hAnsi="Times New Roman"/>
          <w:sz w:val="20"/>
          <w:szCs w:val="20"/>
        </w:rPr>
        <w:fldChar w:fldCharType="separate"/>
      </w:r>
      <w:r>
        <w:rPr>
          <w:rFonts w:ascii="Times New Roman" w:hAnsi="Times New Roman" w:cs="Times New Roman"/>
          <w:color w:val="000000"/>
          <w:kern w:val="0"/>
          <w:sz w:val="20"/>
          <w:szCs w:val="20"/>
        </w:rPr>
        <w:t>[24]</w:t>
      </w:r>
      <w:r>
        <w:rPr>
          <w:rFonts w:ascii="Times New Roman" w:hAnsi="Times New Roman"/>
          <w:sz w:val="20"/>
          <w:szCs w:val="20"/>
        </w:rPr>
        <w:fldChar w:fldCharType="end"/>
      </w:r>
      <w:r>
        <w:rPr>
          <w:rFonts w:ascii="Times New Roman" w:hAnsi="Times New Roman"/>
          <w:sz w:val="20"/>
          <w:szCs w:val="20"/>
        </w:rPr>
        <w:t>. We therefore included eGFR in the model</w:t>
      </w:r>
      <w:r>
        <w:rPr>
          <w:rFonts w:ascii="Times New Roman" w:hAnsi="Times New Roman" w:hint="eastAsia"/>
          <w:sz w:val="20"/>
          <w:szCs w:val="20"/>
        </w:rPr>
        <w:t>s</w:t>
      </w:r>
      <w:r>
        <w:rPr>
          <w:rFonts w:ascii="Times New Roman" w:hAnsi="Times New Roman"/>
          <w:sz w:val="20"/>
          <w:szCs w:val="20"/>
        </w:rPr>
        <w:t>.</w:t>
      </w:r>
    </w:p>
    <w:p w14:paraId="1AB3D8E7" w14:textId="2B1D8E36"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b/>
          <w:bCs/>
          <w:sz w:val="20"/>
          <w:szCs w:val="20"/>
        </w:rPr>
        <w:t>Ratio of LDL-C and HDL-C (LDL-C/HD</w:t>
      </w:r>
      <w:r>
        <w:rPr>
          <w:rFonts w:ascii="Times New Roman" w:hAnsi="Times New Roman"/>
          <w:b/>
          <w:bCs/>
          <w:sz w:val="20"/>
          <w:szCs w:val="20"/>
        </w:rPr>
        <w:t>L-C)</w:t>
      </w:r>
      <w:r>
        <w:rPr>
          <w:rFonts w:ascii="Times New Roman" w:hAnsi="Times New Roman"/>
          <w:sz w:val="20"/>
          <w:szCs w:val="20"/>
        </w:rPr>
        <w:t>: the association between LDL-C and CAC has been introduced. A cross-sectional study revealed the association of higher LDL-C/HDL-C and presence of CAC</w:t>
      </w:r>
      <w:r>
        <w:rPr>
          <w:rFonts w:ascii="Times New Roman" w:hAnsi="Times New Roman"/>
          <w:sz w:val="20"/>
          <w:szCs w:val="20"/>
        </w:rPr>
        <w:fldChar w:fldCharType="begin"/>
      </w:r>
      <w:r>
        <w:rPr>
          <w:rFonts w:ascii="Times New Roman" w:hAnsi="Times New Roman"/>
          <w:sz w:val="20"/>
          <w:szCs w:val="20"/>
        </w:rPr>
        <w:instrText xml:space="preserve"> ADDIN NE.Ref.{7DEFB216-2AC0-43B0-94AB-B1718452337C}</w:instrText>
      </w:r>
      <w:r>
        <w:rPr>
          <w:rFonts w:ascii="Times New Roman" w:hAnsi="Times New Roman"/>
          <w:sz w:val="20"/>
          <w:szCs w:val="20"/>
        </w:rPr>
        <w:fldChar w:fldCharType="separate"/>
      </w:r>
      <w:r>
        <w:rPr>
          <w:rFonts w:ascii="Times New Roman" w:hAnsi="Times New Roman" w:cs="Times New Roman"/>
          <w:color w:val="000000"/>
          <w:kern w:val="0"/>
          <w:sz w:val="20"/>
          <w:szCs w:val="20"/>
        </w:rPr>
        <w:t>[25]</w:t>
      </w:r>
      <w:r>
        <w:rPr>
          <w:rFonts w:ascii="Times New Roman" w:hAnsi="Times New Roman"/>
          <w:sz w:val="20"/>
          <w:szCs w:val="20"/>
        </w:rPr>
        <w:fldChar w:fldCharType="end"/>
      </w:r>
      <w:r>
        <w:rPr>
          <w:rFonts w:ascii="Times New Roman" w:hAnsi="Times New Roman"/>
          <w:sz w:val="20"/>
          <w:szCs w:val="20"/>
        </w:rPr>
        <w:t>. A comparative study found stronger assoc</w:t>
      </w:r>
      <w:r>
        <w:rPr>
          <w:rFonts w:ascii="Times New Roman" w:hAnsi="Times New Roman"/>
          <w:sz w:val="20"/>
          <w:szCs w:val="20"/>
        </w:rPr>
        <w:t xml:space="preserve">iations between HDL-C and </w:t>
      </w:r>
      <w:r>
        <w:rPr>
          <w:rFonts w:ascii="Times New Roman" w:hAnsi="Times New Roman" w:hint="eastAsia"/>
          <w:sz w:val="20"/>
          <w:szCs w:val="20"/>
        </w:rPr>
        <w:t>CACS</w:t>
      </w:r>
      <w:r>
        <w:rPr>
          <w:rFonts w:ascii="Times New Roman" w:hAnsi="Times New Roman"/>
          <w:sz w:val="20"/>
          <w:szCs w:val="20"/>
        </w:rPr>
        <w:t xml:space="preserve"> than that of LDL-C and </w:t>
      </w:r>
      <w:r>
        <w:rPr>
          <w:rFonts w:ascii="Times New Roman" w:hAnsi="Times New Roman" w:hint="eastAsia"/>
          <w:sz w:val="20"/>
          <w:szCs w:val="20"/>
        </w:rPr>
        <w:t>CACS</w:t>
      </w:r>
      <w:r>
        <w:rPr>
          <w:rFonts w:ascii="Times New Roman" w:hAnsi="Times New Roman"/>
          <w:sz w:val="20"/>
          <w:szCs w:val="20"/>
        </w:rPr>
        <w:fldChar w:fldCharType="begin"/>
      </w:r>
      <w:r>
        <w:rPr>
          <w:rFonts w:ascii="Times New Roman" w:hAnsi="Times New Roman"/>
          <w:sz w:val="20"/>
          <w:szCs w:val="20"/>
        </w:rPr>
        <w:instrText xml:space="preserve"> ADDIN NE.Ref.{EE0971C7-75A0-457E-B5F7-1FCB506E9EE1}</w:instrText>
      </w:r>
      <w:r>
        <w:rPr>
          <w:rFonts w:ascii="Times New Roman" w:hAnsi="Times New Roman"/>
          <w:sz w:val="20"/>
          <w:szCs w:val="20"/>
        </w:rPr>
        <w:fldChar w:fldCharType="separate"/>
      </w:r>
      <w:r>
        <w:rPr>
          <w:rFonts w:ascii="Times New Roman" w:hAnsi="Times New Roman" w:cs="Times New Roman"/>
          <w:color w:val="000000"/>
          <w:kern w:val="0"/>
          <w:sz w:val="20"/>
          <w:szCs w:val="20"/>
        </w:rPr>
        <w:t>[26]</w:t>
      </w:r>
      <w:r>
        <w:rPr>
          <w:rFonts w:ascii="Times New Roman" w:hAnsi="Times New Roman"/>
          <w:sz w:val="20"/>
          <w:szCs w:val="20"/>
        </w:rPr>
        <w:fldChar w:fldCharType="end"/>
      </w:r>
      <w:r>
        <w:rPr>
          <w:rFonts w:ascii="Times New Roman" w:hAnsi="Times New Roman"/>
          <w:sz w:val="20"/>
          <w:szCs w:val="20"/>
        </w:rPr>
        <w:t>.</w:t>
      </w:r>
    </w:p>
    <w:p w14:paraId="53D3E30A" w14:textId="77777777" w:rsidR="00060E59" w:rsidRDefault="00682037">
      <w:pPr>
        <w:pStyle w:val="a9"/>
        <w:numPr>
          <w:ilvl w:val="0"/>
          <w:numId w:val="1"/>
        </w:numPr>
        <w:autoSpaceDE w:val="0"/>
        <w:autoSpaceDN w:val="0"/>
        <w:adjustRightInd w:val="0"/>
        <w:ind w:firstLineChars="0"/>
        <w:rPr>
          <w:rFonts w:ascii="Times New Roman" w:hAnsi="Times New Roman"/>
          <w:b/>
          <w:bCs/>
          <w:sz w:val="20"/>
          <w:szCs w:val="20"/>
        </w:rPr>
      </w:pPr>
      <w:r>
        <w:rPr>
          <w:rFonts w:ascii="Times New Roman" w:hAnsi="Times New Roman"/>
          <w:b/>
          <w:bCs/>
          <w:sz w:val="20"/>
          <w:szCs w:val="20"/>
        </w:rPr>
        <w:t>Supplemental Results</w:t>
      </w:r>
    </w:p>
    <w:p w14:paraId="37C69F26" w14:textId="77777777" w:rsidR="00060E59" w:rsidRDefault="00682037">
      <w:pPr>
        <w:pStyle w:val="Tablecaption"/>
        <w:spacing w:before="312" w:after="312"/>
        <w:rPr>
          <w:rFonts w:eastAsia="MYingHei_18030_C-Medium"/>
          <w:b w:val="0"/>
          <w:bCs/>
          <w:sz w:val="20"/>
          <w:szCs w:val="20"/>
        </w:rPr>
      </w:pPr>
      <w:r>
        <w:rPr>
          <w:rFonts w:eastAsia="MYingHei_18030_C-Medium"/>
          <w:color w:val="auto"/>
        </w:rPr>
        <w:t xml:space="preserve">Table S1 Number of observations with missing values on the </w:t>
      </w:r>
      <w:r>
        <w:rPr>
          <w:rFonts w:eastAsia="MYingHei_18030_C-Medium" w:hint="eastAsia"/>
          <w:color w:val="auto"/>
        </w:rPr>
        <w:t>predictor</w:t>
      </w:r>
      <w:r>
        <w:rPr>
          <w:rFonts w:eastAsia="MYingHei_18030_C-Medium"/>
          <w:color w:val="auto"/>
        </w:rPr>
        <w:t xml:space="preserve">s </w:t>
      </w:r>
      <w:r>
        <w:rPr>
          <w:rFonts w:eastAsia="MYingHei_18030_C-Medium"/>
          <w:color w:val="auto"/>
        </w:rPr>
        <w:t>listed in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99"/>
        <w:gridCol w:w="1248"/>
      </w:tblGrid>
      <w:tr w:rsidR="00060E59" w14:paraId="057EE58E" w14:textId="77777777">
        <w:trPr>
          <w:cantSplit/>
          <w:trHeight w:val="425"/>
          <w:jc w:val="center"/>
        </w:trPr>
        <w:tc>
          <w:tcPr>
            <w:tcW w:w="5699" w:type="dxa"/>
            <w:shd w:val="clear" w:color="auto" w:fill="FFFFFF"/>
            <w:tcMar>
              <w:left w:w="85" w:type="dxa"/>
              <w:right w:w="85" w:type="dxa"/>
            </w:tcMar>
            <w:vAlign w:val="center"/>
          </w:tcPr>
          <w:p w14:paraId="59D4540A" w14:textId="77777777" w:rsidR="00060E59" w:rsidRDefault="00682037">
            <w:pPr>
              <w:pStyle w:val="Tablebody"/>
              <w:jc w:val="left"/>
              <w:rPr>
                <w:rFonts w:eastAsia="MYingHei_18030_C-Medium"/>
                <w:color w:val="auto"/>
              </w:rPr>
            </w:pPr>
            <w:r>
              <w:rPr>
                <w:rFonts w:eastAsia="MYingHei_18030_C-Medium"/>
                <w:color w:val="auto"/>
              </w:rPr>
              <w:t>Predictors</w:t>
            </w:r>
          </w:p>
        </w:tc>
        <w:tc>
          <w:tcPr>
            <w:tcW w:w="1248" w:type="dxa"/>
            <w:shd w:val="clear" w:color="auto" w:fill="FFFFFF"/>
            <w:tcMar>
              <w:left w:w="85" w:type="dxa"/>
              <w:right w:w="85" w:type="dxa"/>
            </w:tcMar>
            <w:vAlign w:val="center"/>
          </w:tcPr>
          <w:p w14:paraId="41A8D84D" w14:textId="77777777" w:rsidR="00060E59" w:rsidRDefault="00682037">
            <w:pPr>
              <w:pStyle w:val="Tablebody"/>
              <w:jc w:val="center"/>
              <w:rPr>
                <w:rFonts w:eastAsia="MYingHei_18030_C-Medium"/>
                <w:color w:val="auto"/>
              </w:rPr>
            </w:pPr>
            <w:r>
              <w:rPr>
                <w:rFonts w:eastAsia="MYingHei_18030_C-Medium"/>
                <w:color w:val="auto"/>
              </w:rPr>
              <w:t>No.</w:t>
            </w:r>
          </w:p>
        </w:tc>
      </w:tr>
      <w:tr w:rsidR="00060E59" w14:paraId="2692C119" w14:textId="77777777">
        <w:trPr>
          <w:cantSplit/>
          <w:trHeight w:val="425"/>
          <w:jc w:val="center"/>
        </w:trPr>
        <w:tc>
          <w:tcPr>
            <w:tcW w:w="5699" w:type="dxa"/>
            <w:shd w:val="clear" w:color="auto" w:fill="FFFFFF"/>
            <w:tcMar>
              <w:left w:w="85" w:type="dxa"/>
              <w:right w:w="85" w:type="dxa"/>
            </w:tcMar>
            <w:vAlign w:val="center"/>
          </w:tcPr>
          <w:p w14:paraId="70393B6B" w14:textId="77777777" w:rsidR="00060E59" w:rsidRDefault="00682037">
            <w:pPr>
              <w:pStyle w:val="Tablebody"/>
              <w:jc w:val="left"/>
              <w:rPr>
                <w:rFonts w:eastAsia="MYingHei_18030_C-Medium"/>
                <w:color w:val="auto"/>
              </w:rPr>
            </w:pPr>
            <w:r>
              <w:rPr>
                <w:rFonts w:eastAsia="MYingHei_18030_C-Medium"/>
                <w:color w:val="auto"/>
              </w:rPr>
              <w:lastRenderedPageBreak/>
              <w:t>Age</w:t>
            </w:r>
          </w:p>
        </w:tc>
        <w:tc>
          <w:tcPr>
            <w:tcW w:w="1248" w:type="dxa"/>
            <w:shd w:val="clear" w:color="auto" w:fill="FFFFFF"/>
            <w:tcMar>
              <w:left w:w="85" w:type="dxa"/>
              <w:right w:w="85" w:type="dxa"/>
            </w:tcMar>
            <w:vAlign w:val="center"/>
          </w:tcPr>
          <w:p w14:paraId="5EA978F9" w14:textId="77777777" w:rsidR="00060E59" w:rsidRDefault="00682037">
            <w:pPr>
              <w:pStyle w:val="Tablebody"/>
              <w:jc w:val="center"/>
              <w:rPr>
                <w:rFonts w:eastAsia="MYingHei_18030_C-Medium"/>
                <w:color w:val="auto"/>
              </w:rPr>
            </w:pPr>
            <w:r>
              <w:rPr>
                <w:rFonts w:eastAsia="MYingHei_18030_C-Medium"/>
                <w:color w:val="auto"/>
              </w:rPr>
              <w:t>0</w:t>
            </w:r>
          </w:p>
        </w:tc>
      </w:tr>
      <w:tr w:rsidR="00060E59" w14:paraId="3EB563D7" w14:textId="77777777">
        <w:trPr>
          <w:cantSplit/>
          <w:trHeight w:val="425"/>
          <w:jc w:val="center"/>
        </w:trPr>
        <w:tc>
          <w:tcPr>
            <w:tcW w:w="5699" w:type="dxa"/>
            <w:shd w:val="clear" w:color="auto" w:fill="FFFFFF"/>
            <w:tcMar>
              <w:left w:w="85" w:type="dxa"/>
              <w:right w:w="85" w:type="dxa"/>
            </w:tcMar>
            <w:vAlign w:val="center"/>
          </w:tcPr>
          <w:p w14:paraId="6706B159" w14:textId="77777777" w:rsidR="00060E59" w:rsidRDefault="00682037">
            <w:pPr>
              <w:pStyle w:val="Tablebody"/>
              <w:jc w:val="left"/>
              <w:rPr>
                <w:rFonts w:eastAsia="MYingHei_18030_C-Medium"/>
                <w:color w:val="auto"/>
              </w:rPr>
            </w:pPr>
            <w:r>
              <w:rPr>
                <w:rFonts w:eastAsia="MYingHei_18030_C-Medium"/>
                <w:color w:val="auto"/>
              </w:rPr>
              <w:t>Gender</w:t>
            </w:r>
          </w:p>
        </w:tc>
        <w:tc>
          <w:tcPr>
            <w:tcW w:w="1248" w:type="dxa"/>
            <w:shd w:val="clear" w:color="auto" w:fill="FFFFFF"/>
            <w:tcMar>
              <w:left w:w="85" w:type="dxa"/>
              <w:right w:w="85" w:type="dxa"/>
            </w:tcMar>
            <w:vAlign w:val="center"/>
          </w:tcPr>
          <w:p w14:paraId="06CE984D" w14:textId="77777777" w:rsidR="00060E59" w:rsidRDefault="00682037">
            <w:pPr>
              <w:pStyle w:val="Tablebody"/>
              <w:jc w:val="center"/>
              <w:rPr>
                <w:rFonts w:eastAsia="MYingHei_18030_C-Medium"/>
                <w:color w:val="auto"/>
              </w:rPr>
            </w:pPr>
            <w:r>
              <w:rPr>
                <w:rFonts w:eastAsia="MYingHei_18030_C-Medium"/>
                <w:color w:val="auto"/>
              </w:rPr>
              <w:t>0</w:t>
            </w:r>
          </w:p>
        </w:tc>
      </w:tr>
      <w:tr w:rsidR="00060E59" w14:paraId="7E35BF31" w14:textId="77777777">
        <w:trPr>
          <w:cantSplit/>
          <w:trHeight w:val="425"/>
          <w:jc w:val="center"/>
        </w:trPr>
        <w:tc>
          <w:tcPr>
            <w:tcW w:w="5699" w:type="dxa"/>
            <w:shd w:val="clear" w:color="auto" w:fill="FFFFFF"/>
            <w:tcMar>
              <w:left w:w="85" w:type="dxa"/>
              <w:right w:w="85" w:type="dxa"/>
            </w:tcMar>
            <w:vAlign w:val="center"/>
          </w:tcPr>
          <w:p w14:paraId="4FC40CD7" w14:textId="77777777" w:rsidR="00060E59" w:rsidRDefault="00682037">
            <w:pPr>
              <w:pStyle w:val="Tablebody"/>
              <w:jc w:val="left"/>
              <w:rPr>
                <w:rFonts w:eastAsia="MYingHei_18030_C-Medium"/>
                <w:color w:val="auto"/>
              </w:rPr>
            </w:pPr>
            <w:r>
              <w:rPr>
                <w:rFonts w:eastAsia="MYingHei_18030_C-Medium"/>
                <w:color w:val="auto"/>
              </w:rPr>
              <w:t>Hypertension</w:t>
            </w:r>
          </w:p>
        </w:tc>
        <w:tc>
          <w:tcPr>
            <w:tcW w:w="1248" w:type="dxa"/>
            <w:shd w:val="clear" w:color="auto" w:fill="FFFFFF"/>
            <w:tcMar>
              <w:left w:w="85" w:type="dxa"/>
              <w:right w:w="85" w:type="dxa"/>
            </w:tcMar>
            <w:vAlign w:val="center"/>
          </w:tcPr>
          <w:p w14:paraId="2F2D76DD" w14:textId="77777777" w:rsidR="00060E59" w:rsidRDefault="00682037">
            <w:pPr>
              <w:pStyle w:val="Tablebody"/>
              <w:jc w:val="center"/>
              <w:rPr>
                <w:rFonts w:eastAsia="MYingHei_18030_C-Medium"/>
                <w:color w:val="auto"/>
              </w:rPr>
            </w:pPr>
            <w:r>
              <w:rPr>
                <w:rFonts w:eastAsia="MYingHei_18030_C-Medium"/>
                <w:color w:val="auto"/>
              </w:rPr>
              <w:t>2</w:t>
            </w:r>
          </w:p>
        </w:tc>
      </w:tr>
      <w:tr w:rsidR="00060E59" w14:paraId="67AB8C40" w14:textId="77777777">
        <w:trPr>
          <w:cantSplit/>
          <w:trHeight w:val="425"/>
          <w:jc w:val="center"/>
        </w:trPr>
        <w:tc>
          <w:tcPr>
            <w:tcW w:w="5699" w:type="dxa"/>
            <w:shd w:val="clear" w:color="auto" w:fill="FFFFFF"/>
            <w:tcMar>
              <w:left w:w="85" w:type="dxa"/>
              <w:right w:w="85" w:type="dxa"/>
            </w:tcMar>
            <w:vAlign w:val="center"/>
          </w:tcPr>
          <w:p w14:paraId="6EF4C2DE" w14:textId="77777777" w:rsidR="00060E59" w:rsidRDefault="00682037">
            <w:pPr>
              <w:pStyle w:val="Tablebody"/>
              <w:jc w:val="left"/>
              <w:rPr>
                <w:rFonts w:eastAsia="MYingHei_18030_C-Medium"/>
                <w:color w:val="auto"/>
              </w:rPr>
            </w:pPr>
            <w:r>
              <w:rPr>
                <w:rFonts w:eastAsia="MYingHei_18030_C-Medium"/>
                <w:color w:val="auto"/>
              </w:rPr>
              <w:t>Diabetes</w:t>
            </w:r>
          </w:p>
        </w:tc>
        <w:tc>
          <w:tcPr>
            <w:tcW w:w="1248" w:type="dxa"/>
            <w:shd w:val="clear" w:color="auto" w:fill="FFFFFF"/>
            <w:tcMar>
              <w:left w:w="85" w:type="dxa"/>
              <w:right w:w="85" w:type="dxa"/>
            </w:tcMar>
            <w:vAlign w:val="center"/>
          </w:tcPr>
          <w:p w14:paraId="3EE4B975" w14:textId="77777777" w:rsidR="00060E59" w:rsidRDefault="00682037">
            <w:pPr>
              <w:pStyle w:val="Tablebody"/>
              <w:jc w:val="center"/>
              <w:rPr>
                <w:rFonts w:eastAsia="MYingHei_18030_C-Medium"/>
                <w:color w:val="auto"/>
              </w:rPr>
            </w:pPr>
            <w:r>
              <w:rPr>
                <w:rFonts w:eastAsia="MYingHei_18030_C-Medium"/>
                <w:color w:val="auto"/>
              </w:rPr>
              <w:t>1</w:t>
            </w:r>
          </w:p>
        </w:tc>
      </w:tr>
      <w:tr w:rsidR="00060E59" w14:paraId="602D924F" w14:textId="77777777">
        <w:trPr>
          <w:cantSplit/>
          <w:trHeight w:val="425"/>
          <w:jc w:val="center"/>
        </w:trPr>
        <w:tc>
          <w:tcPr>
            <w:tcW w:w="5699" w:type="dxa"/>
            <w:shd w:val="clear" w:color="auto" w:fill="FFFFFF"/>
            <w:tcMar>
              <w:left w:w="85" w:type="dxa"/>
              <w:right w:w="85" w:type="dxa"/>
            </w:tcMar>
            <w:vAlign w:val="center"/>
          </w:tcPr>
          <w:p w14:paraId="3B306FC8" w14:textId="77777777" w:rsidR="00060E59" w:rsidRDefault="00682037">
            <w:pPr>
              <w:pStyle w:val="Tablebody"/>
              <w:jc w:val="left"/>
              <w:rPr>
                <w:rFonts w:eastAsia="MYingHei_18030_C-Medium"/>
                <w:color w:val="auto"/>
              </w:rPr>
            </w:pPr>
            <w:r>
              <w:rPr>
                <w:rFonts w:eastAsia="MYingHei_18030_C-Medium"/>
                <w:color w:val="auto"/>
              </w:rPr>
              <w:t>Current smoking</w:t>
            </w:r>
          </w:p>
        </w:tc>
        <w:tc>
          <w:tcPr>
            <w:tcW w:w="1248" w:type="dxa"/>
            <w:shd w:val="clear" w:color="auto" w:fill="FFFFFF"/>
            <w:tcMar>
              <w:left w:w="85" w:type="dxa"/>
              <w:right w:w="85" w:type="dxa"/>
            </w:tcMar>
            <w:vAlign w:val="center"/>
          </w:tcPr>
          <w:p w14:paraId="4C3D2126" w14:textId="77777777" w:rsidR="00060E59" w:rsidRDefault="00682037">
            <w:pPr>
              <w:pStyle w:val="Tablebody"/>
              <w:jc w:val="center"/>
              <w:rPr>
                <w:rFonts w:eastAsia="MYingHei_18030_C-Medium"/>
                <w:color w:val="auto"/>
              </w:rPr>
            </w:pPr>
            <w:r>
              <w:rPr>
                <w:rFonts w:eastAsia="MYingHei_18030_C-Medium"/>
                <w:color w:val="auto"/>
              </w:rPr>
              <w:t>51</w:t>
            </w:r>
          </w:p>
        </w:tc>
      </w:tr>
      <w:tr w:rsidR="00060E59" w14:paraId="4F4538FB" w14:textId="77777777">
        <w:trPr>
          <w:cantSplit/>
          <w:trHeight w:val="425"/>
          <w:jc w:val="center"/>
        </w:trPr>
        <w:tc>
          <w:tcPr>
            <w:tcW w:w="5699" w:type="dxa"/>
            <w:shd w:val="clear" w:color="auto" w:fill="FFFFFF"/>
            <w:tcMar>
              <w:left w:w="85" w:type="dxa"/>
              <w:right w:w="85" w:type="dxa"/>
            </w:tcMar>
            <w:vAlign w:val="center"/>
          </w:tcPr>
          <w:p w14:paraId="4F52C2EE" w14:textId="77777777" w:rsidR="00060E59" w:rsidRDefault="00682037">
            <w:pPr>
              <w:pStyle w:val="Tablebody"/>
              <w:jc w:val="left"/>
              <w:rPr>
                <w:rFonts w:eastAsia="MYingHei_18030_C-Medium"/>
                <w:color w:val="auto"/>
              </w:rPr>
            </w:pPr>
            <w:r>
              <w:rPr>
                <w:rFonts w:eastAsia="MYingHei_18030_C-Medium"/>
                <w:color w:val="auto"/>
              </w:rPr>
              <w:t>Current alcohol drinking</w:t>
            </w:r>
          </w:p>
        </w:tc>
        <w:tc>
          <w:tcPr>
            <w:tcW w:w="1248" w:type="dxa"/>
            <w:shd w:val="clear" w:color="auto" w:fill="FFFFFF"/>
            <w:tcMar>
              <w:left w:w="85" w:type="dxa"/>
              <w:right w:w="85" w:type="dxa"/>
            </w:tcMar>
            <w:vAlign w:val="center"/>
          </w:tcPr>
          <w:p w14:paraId="350D0352" w14:textId="77777777" w:rsidR="00060E59" w:rsidRDefault="00682037">
            <w:pPr>
              <w:pStyle w:val="Tablebody"/>
              <w:jc w:val="center"/>
              <w:rPr>
                <w:rFonts w:eastAsia="MYingHei_18030_C-Medium"/>
                <w:color w:val="auto"/>
              </w:rPr>
            </w:pPr>
            <w:r>
              <w:rPr>
                <w:rFonts w:eastAsia="MYingHei_18030_C-Medium"/>
                <w:color w:val="auto"/>
              </w:rPr>
              <w:t>45</w:t>
            </w:r>
          </w:p>
        </w:tc>
      </w:tr>
      <w:tr w:rsidR="00060E59" w14:paraId="0E79444A" w14:textId="77777777">
        <w:trPr>
          <w:cantSplit/>
          <w:trHeight w:val="425"/>
          <w:jc w:val="center"/>
        </w:trPr>
        <w:tc>
          <w:tcPr>
            <w:tcW w:w="5699" w:type="dxa"/>
            <w:shd w:val="clear" w:color="auto" w:fill="FFFFFF"/>
            <w:tcMar>
              <w:left w:w="85" w:type="dxa"/>
              <w:right w:w="85" w:type="dxa"/>
            </w:tcMar>
            <w:vAlign w:val="center"/>
          </w:tcPr>
          <w:p w14:paraId="2DA7C702" w14:textId="77777777" w:rsidR="00060E59" w:rsidRDefault="00682037">
            <w:pPr>
              <w:pStyle w:val="Tablebody"/>
              <w:jc w:val="left"/>
              <w:rPr>
                <w:rFonts w:eastAsia="MYingHei_18030_C-Medium"/>
                <w:color w:val="auto"/>
              </w:rPr>
            </w:pPr>
            <w:r>
              <w:rPr>
                <w:rFonts w:eastAsia="MYingHei_18030_C-Medium"/>
                <w:color w:val="auto"/>
              </w:rPr>
              <w:t>Aspirin</w:t>
            </w:r>
            <w:r>
              <w:rPr>
                <w:color w:val="auto"/>
                <w:shd w:val="clear" w:color="auto" w:fill="FFFFFF"/>
                <w:vertAlign w:val="superscript"/>
              </w:rPr>
              <w:t>†</w:t>
            </w:r>
          </w:p>
        </w:tc>
        <w:tc>
          <w:tcPr>
            <w:tcW w:w="1248" w:type="dxa"/>
            <w:shd w:val="clear" w:color="auto" w:fill="FFFFFF"/>
            <w:tcMar>
              <w:left w:w="85" w:type="dxa"/>
              <w:right w:w="85" w:type="dxa"/>
            </w:tcMar>
            <w:vAlign w:val="center"/>
          </w:tcPr>
          <w:p w14:paraId="188A58B1" w14:textId="77777777" w:rsidR="00060E59" w:rsidRDefault="00682037">
            <w:pPr>
              <w:pStyle w:val="Tablebody"/>
              <w:jc w:val="center"/>
              <w:rPr>
                <w:rFonts w:eastAsia="MYingHei_18030_C-Medium"/>
                <w:color w:val="auto"/>
              </w:rPr>
            </w:pPr>
            <w:r>
              <w:rPr>
                <w:rFonts w:eastAsia="MYingHei_18030_C-Medium"/>
                <w:color w:val="auto"/>
              </w:rPr>
              <w:t>21</w:t>
            </w:r>
          </w:p>
        </w:tc>
      </w:tr>
      <w:tr w:rsidR="00060E59" w14:paraId="57150E92" w14:textId="77777777">
        <w:trPr>
          <w:cantSplit/>
          <w:trHeight w:val="425"/>
          <w:jc w:val="center"/>
        </w:trPr>
        <w:tc>
          <w:tcPr>
            <w:tcW w:w="5699" w:type="dxa"/>
            <w:shd w:val="clear" w:color="auto" w:fill="FFFFFF"/>
            <w:tcMar>
              <w:left w:w="85" w:type="dxa"/>
              <w:right w:w="85" w:type="dxa"/>
            </w:tcMar>
            <w:vAlign w:val="center"/>
          </w:tcPr>
          <w:p w14:paraId="5D3D7105" w14:textId="77777777" w:rsidR="00060E59" w:rsidRDefault="00682037">
            <w:pPr>
              <w:pStyle w:val="Tablebody"/>
              <w:jc w:val="left"/>
              <w:rPr>
                <w:rFonts w:eastAsia="MYingHei_18030_C-Medium"/>
                <w:color w:val="auto"/>
              </w:rPr>
            </w:pPr>
            <w:r>
              <w:rPr>
                <w:rFonts w:eastAsia="MYingHei_18030_C-Medium"/>
                <w:color w:val="auto"/>
              </w:rPr>
              <w:t>Statins</w:t>
            </w:r>
            <w:r>
              <w:rPr>
                <w:color w:val="auto"/>
                <w:shd w:val="clear" w:color="auto" w:fill="FFFFFF"/>
                <w:vertAlign w:val="superscript"/>
              </w:rPr>
              <w:t>†</w:t>
            </w:r>
          </w:p>
        </w:tc>
        <w:tc>
          <w:tcPr>
            <w:tcW w:w="1248" w:type="dxa"/>
            <w:shd w:val="clear" w:color="auto" w:fill="FFFFFF"/>
            <w:tcMar>
              <w:left w:w="85" w:type="dxa"/>
              <w:right w:w="85" w:type="dxa"/>
            </w:tcMar>
            <w:vAlign w:val="center"/>
          </w:tcPr>
          <w:p w14:paraId="1925B81E" w14:textId="77777777" w:rsidR="00060E59" w:rsidRDefault="00682037">
            <w:pPr>
              <w:pStyle w:val="Tablebody"/>
              <w:jc w:val="center"/>
              <w:rPr>
                <w:rFonts w:eastAsia="MYingHei_18030_C-Medium"/>
                <w:color w:val="auto"/>
              </w:rPr>
            </w:pPr>
            <w:r>
              <w:rPr>
                <w:rFonts w:eastAsia="MYingHei_18030_C-Medium"/>
                <w:color w:val="auto"/>
              </w:rPr>
              <w:t>21</w:t>
            </w:r>
          </w:p>
        </w:tc>
      </w:tr>
      <w:tr w:rsidR="00060E59" w14:paraId="3F82FAD5" w14:textId="77777777">
        <w:trPr>
          <w:cantSplit/>
          <w:trHeight w:val="425"/>
          <w:jc w:val="center"/>
        </w:trPr>
        <w:tc>
          <w:tcPr>
            <w:tcW w:w="5699" w:type="dxa"/>
            <w:shd w:val="clear" w:color="auto" w:fill="FFFFFF"/>
            <w:tcMar>
              <w:left w:w="85" w:type="dxa"/>
              <w:right w:w="85" w:type="dxa"/>
            </w:tcMar>
            <w:vAlign w:val="center"/>
          </w:tcPr>
          <w:p w14:paraId="5DDCCF4E" w14:textId="77777777" w:rsidR="00060E59" w:rsidRDefault="00682037">
            <w:pPr>
              <w:pStyle w:val="Tablebody"/>
              <w:jc w:val="left"/>
              <w:rPr>
                <w:rFonts w:eastAsia="MYingHei_18030_C-Medium"/>
                <w:color w:val="auto"/>
              </w:rPr>
            </w:pPr>
            <w:r>
              <w:rPr>
                <w:color w:val="auto"/>
              </w:rPr>
              <w:t>Alkaline phosphatase, IU/L</w:t>
            </w:r>
          </w:p>
        </w:tc>
        <w:tc>
          <w:tcPr>
            <w:tcW w:w="1248" w:type="dxa"/>
            <w:shd w:val="clear" w:color="auto" w:fill="FFFFFF"/>
            <w:tcMar>
              <w:left w:w="85" w:type="dxa"/>
              <w:right w:w="85" w:type="dxa"/>
            </w:tcMar>
            <w:vAlign w:val="center"/>
          </w:tcPr>
          <w:p w14:paraId="7B09BC1F" w14:textId="77777777" w:rsidR="00060E59" w:rsidRDefault="00682037">
            <w:pPr>
              <w:pStyle w:val="Tablebody"/>
              <w:jc w:val="center"/>
              <w:rPr>
                <w:rFonts w:eastAsia="MYingHei_18030_C-Medium"/>
                <w:color w:val="auto"/>
              </w:rPr>
            </w:pPr>
            <w:r>
              <w:rPr>
                <w:rFonts w:eastAsia="MYingHei_18030_C-Medium"/>
                <w:color w:val="auto"/>
              </w:rPr>
              <w:t>110</w:t>
            </w:r>
          </w:p>
        </w:tc>
      </w:tr>
      <w:tr w:rsidR="00060E59" w14:paraId="15B91446" w14:textId="77777777">
        <w:trPr>
          <w:cantSplit/>
          <w:trHeight w:val="425"/>
          <w:jc w:val="center"/>
        </w:trPr>
        <w:tc>
          <w:tcPr>
            <w:tcW w:w="5699" w:type="dxa"/>
            <w:shd w:val="clear" w:color="auto" w:fill="FFFFFF"/>
            <w:tcMar>
              <w:left w:w="85" w:type="dxa"/>
              <w:right w:w="85" w:type="dxa"/>
            </w:tcMar>
            <w:vAlign w:val="center"/>
          </w:tcPr>
          <w:p w14:paraId="1EDD83BD" w14:textId="77777777" w:rsidR="00060E59" w:rsidRDefault="00682037">
            <w:pPr>
              <w:pStyle w:val="Tablebody"/>
              <w:jc w:val="left"/>
              <w:rPr>
                <w:rFonts w:eastAsia="MYingHei_18030_C-Medium"/>
                <w:color w:val="auto"/>
              </w:rPr>
            </w:pPr>
            <w:r>
              <w:rPr>
                <w:color w:val="auto"/>
              </w:rPr>
              <w:t>Serum calcium, mmol/L</w:t>
            </w:r>
          </w:p>
        </w:tc>
        <w:tc>
          <w:tcPr>
            <w:tcW w:w="1248" w:type="dxa"/>
            <w:shd w:val="clear" w:color="auto" w:fill="FFFFFF"/>
            <w:tcMar>
              <w:left w:w="85" w:type="dxa"/>
              <w:right w:w="85" w:type="dxa"/>
            </w:tcMar>
            <w:vAlign w:val="center"/>
          </w:tcPr>
          <w:p w14:paraId="3313B2A4" w14:textId="77777777" w:rsidR="00060E59" w:rsidRDefault="00682037">
            <w:pPr>
              <w:pStyle w:val="Tablebody"/>
              <w:jc w:val="center"/>
              <w:rPr>
                <w:rFonts w:eastAsia="MYingHei_18030_C-Medium"/>
                <w:color w:val="auto"/>
              </w:rPr>
            </w:pPr>
            <w:r>
              <w:rPr>
                <w:rFonts w:eastAsia="MYingHei_18030_C-Medium"/>
                <w:color w:val="auto"/>
              </w:rPr>
              <w:t>75</w:t>
            </w:r>
          </w:p>
        </w:tc>
      </w:tr>
      <w:tr w:rsidR="00060E59" w14:paraId="23C22040" w14:textId="77777777">
        <w:trPr>
          <w:cantSplit/>
          <w:trHeight w:val="425"/>
          <w:jc w:val="center"/>
        </w:trPr>
        <w:tc>
          <w:tcPr>
            <w:tcW w:w="5699" w:type="dxa"/>
            <w:shd w:val="clear" w:color="auto" w:fill="FFFFFF"/>
            <w:tcMar>
              <w:left w:w="85" w:type="dxa"/>
              <w:right w:w="85" w:type="dxa"/>
            </w:tcMar>
            <w:vAlign w:val="center"/>
          </w:tcPr>
          <w:p w14:paraId="784B7AF9" w14:textId="77777777" w:rsidR="00060E59" w:rsidRDefault="00682037">
            <w:pPr>
              <w:pStyle w:val="Tablebody"/>
              <w:jc w:val="left"/>
              <w:rPr>
                <w:rFonts w:eastAsia="MYingHei_18030_C-Medium"/>
                <w:color w:val="auto"/>
              </w:rPr>
            </w:pPr>
            <w:r>
              <w:rPr>
                <w:color w:val="auto"/>
              </w:rPr>
              <w:t>Serum phosphorus, mmol/L</w:t>
            </w:r>
          </w:p>
        </w:tc>
        <w:tc>
          <w:tcPr>
            <w:tcW w:w="1248" w:type="dxa"/>
            <w:shd w:val="clear" w:color="auto" w:fill="FFFFFF"/>
            <w:tcMar>
              <w:left w:w="85" w:type="dxa"/>
              <w:right w:w="85" w:type="dxa"/>
            </w:tcMar>
            <w:vAlign w:val="center"/>
          </w:tcPr>
          <w:p w14:paraId="02B98F7B" w14:textId="77777777" w:rsidR="00060E59" w:rsidRDefault="00682037">
            <w:pPr>
              <w:pStyle w:val="Tablebody"/>
              <w:jc w:val="center"/>
              <w:rPr>
                <w:rFonts w:eastAsia="MYingHei_18030_C-Medium"/>
                <w:color w:val="auto"/>
              </w:rPr>
            </w:pPr>
            <w:r>
              <w:rPr>
                <w:rFonts w:eastAsia="MYingHei_18030_C-Medium"/>
                <w:color w:val="auto"/>
              </w:rPr>
              <w:t>74</w:t>
            </w:r>
          </w:p>
        </w:tc>
      </w:tr>
      <w:tr w:rsidR="00060E59" w14:paraId="71DB83B4" w14:textId="77777777">
        <w:trPr>
          <w:cantSplit/>
          <w:trHeight w:val="425"/>
          <w:jc w:val="center"/>
        </w:trPr>
        <w:tc>
          <w:tcPr>
            <w:tcW w:w="5699" w:type="dxa"/>
            <w:shd w:val="clear" w:color="auto" w:fill="FFFFFF"/>
            <w:tcMar>
              <w:left w:w="85" w:type="dxa"/>
              <w:right w:w="85" w:type="dxa"/>
            </w:tcMar>
            <w:vAlign w:val="center"/>
          </w:tcPr>
          <w:p w14:paraId="695C046D" w14:textId="77777777" w:rsidR="00060E59" w:rsidRDefault="00682037">
            <w:pPr>
              <w:pStyle w:val="Tablebody"/>
              <w:jc w:val="left"/>
              <w:rPr>
                <w:rFonts w:eastAsia="MYingHei_18030_C-Medium"/>
                <w:color w:val="auto"/>
              </w:rPr>
            </w:pPr>
            <w:r>
              <w:rPr>
                <w:color w:val="auto"/>
              </w:rPr>
              <w:t xml:space="preserve">Product of </w:t>
            </w:r>
            <w:r>
              <w:rPr>
                <w:color w:val="auto"/>
              </w:rPr>
              <w:t>serum calcium and serum phosphorus, (mmol/L)</w:t>
            </w:r>
            <w:r>
              <w:rPr>
                <w:color w:val="auto"/>
                <w:vertAlign w:val="superscript"/>
              </w:rPr>
              <w:t>2</w:t>
            </w:r>
          </w:p>
        </w:tc>
        <w:tc>
          <w:tcPr>
            <w:tcW w:w="1248" w:type="dxa"/>
            <w:shd w:val="clear" w:color="auto" w:fill="FFFFFF"/>
            <w:tcMar>
              <w:left w:w="85" w:type="dxa"/>
              <w:right w:w="85" w:type="dxa"/>
            </w:tcMar>
            <w:vAlign w:val="center"/>
          </w:tcPr>
          <w:p w14:paraId="0A22BDE4" w14:textId="77777777" w:rsidR="00060E59" w:rsidRDefault="00682037">
            <w:pPr>
              <w:pStyle w:val="Tablebody"/>
              <w:jc w:val="center"/>
              <w:rPr>
                <w:rFonts w:eastAsia="MYingHei_18030_C-Medium"/>
                <w:color w:val="auto"/>
              </w:rPr>
            </w:pPr>
            <w:r>
              <w:rPr>
                <w:rFonts w:eastAsia="MYingHei_18030_C-Medium"/>
                <w:color w:val="auto"/>
              </w:rPr>
              <w:t>75</w:t>
            </w:r>
          </w:p>
        </w:tc>
      </w:tr>
      <w:tr w:rsidR="00060E59" w14:paraId="202C8622" w14:textId="77777777">
        <w:trPr>
          <w:cantSplit/>
          <w:trHeight w:val="425"/>
          <w:jc w:val="center"/>
        </w:trPr>
        <w:tc>
          <w:tcPr>
            <w:tcW w:w="5699" w:type="dxa"/>
            <w:shd w:val="clear" w:color="auto" w:fill="FFFFFF"/>
            <w:tcMar>
              <w:left w:w="85" w:type="dxa"/>
              <w:right w:w="85" w:type="dxa"/>
            </w:tcMar>
            <w:vAlign w:val="center"/>
          </w:tcPr>
          <w:p w14:paraId="0D589338" w14:textId="77777777" w:rsidR="00060E59" w:rsidRDefault="00682037">
            <w:pPr>
              <w:pStyle w:val="Tablebody"/>
              <w:jc w:val="left"/>
              <w:rPr>
                <w:rFonts w:eastAsia="MYingHei_18030_C-Medium"/>
                <w:color w:val="auto"/>
              </w:rPr>
            </w:pPr>
            <w:r>
              <w:rPr>
                <w:color w:val="auto"/>
              </w:rPr>
              <w:t xml:space="preserve">Serum creatinine, </w:t>
            </w:r>
            <w:proofErr w:type="spellStart"/>
            <w:r>
              <w:rPr>
                <w:color w:val="auto"/>
              </w:rPr>
              <w:t>μmol</w:t>
            </w:r>
            <w:proofErr w:type="spellEnd"/>
            <w:r>
              <w:rPr>
                <w:color w:val="auto"/>
              </w:rPr>
              <w:t>/L</w:t>
            </w:r>
          </w:p>
        </w:tc>
        <w:tc>
          <w:tcPr>
            <w:tcW w:w="1248" w:type="dxa"/>
            <w:shd w:val="clear" w:color="auto" w:fill="FFFFFF"/>
            <w:tcMar>
              <w:left w:w="85" w:type="dxa"/>
              <w:right w:w="85" w:type="dxa"/>
            </w:tcMar>
            <w:vAlign w:val="center"/>
          </w:tcPr>
          <w:p w14:paraId="1A148484" w14:textId="77777777" w:rsidR="00060E59" w:rsidRDefault="00682037">
            <w:pPr>
              <w:pStyle w:val="Tablebody"/>
              <w:jc w:val="center"/>
              <w:rPr>
                <w:rFonts w:eastAsia="MYingHei_18030_C-Medium"/>
                <w:color w:val="auto"/>
              </w:rPr>
            </w:pPr>
            <w:r>
              <w:rPr>
                <w:rFonts w:eastAsia="MYingHei_18030_C-Medium"/>
                <w:color w:val="auto"/>
              </w:rPr>
              <w:t>6</w:t>
            </w:r>
          </w:p>
        </w:tc>
      </w:tr>
      <w:tr w:rsidR="00060E59" w14:paraId="15164631" w14:textId="77777777">
        <w:trPr>
          <w:cantSplit/>
          <w:trHeight w:val="425"/>
          <w:jc w:val="center"/>
        </w:trPr>
        <w:tc>
          <w:tcPr>
            <w:tcW w:w="5699" w:type="dxa"/>
            <w:shd w:val="clear" w:color="auto" w:fill="FFFFFF"/>
            <w:tcMar>
              <w:left w:w="85" w:type="dxa"/>
              <w:right w:w="85" w:type="dxa"/>
            </w:tcMar>
            <w:vAlign w:val="center"/>
          </w:tcPr>
          <w:p w14:paraId="67229972" w14:textId="77777777" w:rsidR="00060E59" w:rsidRDefault="00682037">
            <w:pPr>
              <w:pStyle w:val="Tablebody"/>
              <w:jc w:val="left"/>
              <w:rPr>
                <w:rFonts w:eastAsia="MYingHei_18030_C-Medium"/>
                <w:color w:val="auto"/>
              </w:rPr>
            </w:pPr>
            <w:r>
              <w:rPr>
                <w:color w:val="auto"/>
              </w:rPr>
              <w:t xml:space="preserve">eGFR, </w:t>
            </w:r>
            <w:r>
              <w:t>mL</w:t>
            </w:r>
            <w:proofErr w:type="gramStart"/>
            <w:r>
              <w:t>/(</w:t>
            </w:r>
            <w:proofErr w:type="gramEnd"/>
            <w:r>
              <w:t>min·1.73 m</w:t>
            </w:r>
            <w:r>
              <w:rPr>
                <w:vertAlign w:val="superscript"/>
              </w:rPr>
              <w:t>2</w:t>
            </w:r>
            <w:r>
              <w:t>)</w:t>
            </w:r>
          </w:p>
        </w:tc>
        <w:tc>
          <w:tcPr>
            <w:tcW w:w="1248" w:type="dxa"/>
            <w:shd w:val="clear" w:color="auto" w:fill="FFFFFF"/>
            <w:tcMar>
              <w:left w:w="85" w:type="dxa"/>
              <w:right w:w="85" w:type="dxa"/>
            </w:tcMar>
            <w:vAlign w:val="center"/>
          </w:tcPr>
          <w:p w14:paraId="3565951D" w14:textId="77777777" w:rsidR="00060E59" w:rsidRDefault="00682037">
            <w:pPr>
              <w:pStyle w:val="Tablebody"/>
              <w:jc w:val="center"/>
              <w:rPr>
                <w:rFonts w:eastAsia="MYingHei_18030_C-Medium"/>
                <w:color w:val="auto"/>
              </w:rPr>
            </w:pPr>
            <w:r>
              <w:rPr>
                <w:rFonts w:eastAsia="MYingHei_18030_C-Medium"/>
                <w:color w:val="auto"/>
              </w:rPr>
              <w:t>5</w:t>
            </w:r>
          </w:p>
        </w:tc>
      </w:tr>
      <w:tr w:rsidR="00060E59" w14:paraId="2468B8CA" w14:textId="77777777">
        <w:trPr>
          <w:cantSplit/>
          <w:trHeight w:val="425"/>
          <w:jc w:val="center"/>
        </w:trPr>
        <w:tc>
          <w:tcPr>
            <w:tcW w:w="5699" w:type="dxa"/>
            <w:shd w:val="clear" w:color="auto" w:fill="FFFFFF"/>
            <w:tcMar>
              <w:left w:w="85" w:type="dxa"/>
              <w:right w:w="85" w:type="dxa"/>
            </w:tcMar>
            <w:vAlign w:val="center"/>
          </w:tcPr>
          <w:p w14:paraId="128F7250" w14:textId="77777777" w:rsidR="00060E59" w:rsidRDefault="00682037">
            <w:pPr>
              <w:pStyle w:val="Tablebody"/>
              <w:jc w:val="left"/>
              <w:rPr>
                <w:rFonts w:eastAsia="MYingHei_18030_C-Medium"/>
                <w:color w:val="auto"/>
              </w:rPr>
            </w:pPr>
            <w:r>
              <w:rPr>
                <w:color w:val="auto"/>
              </w:rPr>
              <w:t>Total cholesterol, mmol/L</w:t>
            </w:r>
          </w:p>
        </w:tc>
        <w:tc>
          <w:tcPr>
            <w:tcW w:w="1248" w:type="dxa"/>
            <w:shd w:val="clear" w:color="auto" w:fill="FFFFFF"/>
            <w:tcMar>
              <w:left w:w="85" w:type="dxa"/>
              <w:right w:w="85" w:type="dxa"/>
            </w:tcMar>
            <w:vAlign w:val="center"/>
          </w:tcPr>
          <w:p w14:paraId="2421167E" w14:textId="77777777" w:rsidR="00060E59" w:rsidRDefault="00682037">
            <w:pPr>
              <w:pStyle w:val="Tablebody"/>
              <w:jc w:val="center"/>
              <w:rPr>
                <w:rFonts w:eastAsia="MYingHei_18030_C-Medium"/>
                <w:color w:val="auto"/>
              </w:rPr>
            </w:pPr>
            <w:r>
              <w:rPr>
                <w:rFonts w:eastAsia="MYingHei_18030_C-Medium"/>
                <w:color w:val="auto"/>
              </w:rPr>
              <w:t>8</w:t>
            </w:r>
          </w:p>
        </w:tc>
      </w:tr>
      <w:tr w:rsidR="00060E59" w14:paraId="115B1170" w14:textId="77777777">
        <w:trPr>
          <w:cantSplit/>
          <w:trHeight w:val="425"/>
          <w:jc w:val="center"/>
        </w:trPr>
        <w:tc>
          <w:tcPr>
            <w:tcW w:w="5699" w:type="dxa"/>
            <w:shd w:val="clear" w:color="auto" w:fill="FFFFFF"/>
            <w:tcMar>
              <w:left w:w="85" w:type="dxa"/>
              <w:right w:w="85" w:type="dxa"/>
            </w:tcMar>
            <w:vAlign w:val="center"/>
          </w:tcPr>
          <w:p w14:paraId="6085EF21" w14:textId="77777777" w:rsidR="00060E59" w:rsidRDefault="00682037">
            <w:pPr>
              <w:pStyle w:val="Tablebody"/>
              <w:jc w:val="left"/>
              <w:rPr>
                <w:rFonts w:eastAsia="MYingHei_18030_C-Medium"/>
                <w:color w:val="auto"/>
              </w:rPr>
            </w:pPr>
            <w:r>
              <w:rPr>
                <w:color w:val="auto"/>
              </w:rPr>
              <w:t xml:space="preserve">Homocysteine, </w:t>
            </w:r>
            <w:proofErr w:type="spellStart"/>
            <w:r>
              <w:rPr>
                <w:color w:val="auto"/>
              </w:rPr>
              <w:t>μmol</w:t>
            </w:r>
            <w:proofErr w:type="spellEnd"/>
            <w:r>
              <w:rPr>
                <w:color w:val="auto"/>
              </w:rPr>
              <w:t>/L</w:t>
            </w:r>
          </w:p>
        </w:tc>
        <w:tc>
          <w:tcPr>
            <w:tcW w:w="1248" w:type="dxa"/>
            <w:shd w:val="clear" w:color="auto" w:fill="FFFFFF"/>
            <w:tcMar>
              <w:left w:w="85" w:type="dxa"/>
              <w:right w:w="85" w:type="dxa"/>
            </w:tcMar>
            <w:vAlign w:val="center"/>
          </w:tcPr>
          <w:p w14:paraId="0D33A559" w14:textId="77777777" w:rsidR="00060E59" w:rsidRDefault="00682037">
            <w:pPr>
              <w:pStyle w:val="Tablebody"/>
              <w:jc w:val="center"/>
              <w:rPr>
                <w:rFonts w:eastAsia="MYingHei_18030_C-Medium"/>
                <w:color w:val="auto"/>
              </w:rPr>
            </w:pPr>
            <w:r>
              <w:rPr>
                <w:rFonts w:eastAsia="MYingHei_18030_C-Medium"/>
                <w:color w:val="auto"/>
              </w:rPr>
              <w:t>133</w:t>
            </w:r>
          </w:p>
        </w:tc>
      </w:tr>
      <w:tr w:rsidR="00060E59" w14:paraId="118976F5" w14:textId="77777777">
        <w:trPr>
          <w:cantSplit/>
          <w:trHeight w:val="425"/>
          <w:jc w:val="center"/>
        </w:trPr>
        <w:tc>
          <w:tcPr>
            <w:tcW w:w="5699" w:type="dxa"/>
            <w:shd w:val="clear" w:color="auto" w:fill="FFFFFF"/>
            <w:tcMar>
              <w:left w:w="85" w:type="dxa"/>
              <w:right w:w="85" w:type="dxa"/>
            </w:tcMar>
            <w:vAlign w:val="center"/>
          </w:tcPr>
          <w:p w14:paraId="6DB8C1D0" w14:textId="77777777" w:rsidR="00060E59" w:rsidRDefault="00682037">
            <w:pPr>
              <w:pStyle w:val="Tablebody"/>
              <w:jc w:val="left"/>
              <w:rPr>
                <w:rFonts w:eastAsia="MYingHei_18030_C-Medium"/>
                <w:color w:val="auto"/>
              </w:rPr>
            </w:pPr>
            <w:r>
              <w:rPr>
                <w:color w:val="auto"/>
              </w:rPr>
              <w:t>Glycated hemoglobin A1c, %</w:t>
            </w:r>
          </w:p>
        </w:tc>
        <w:tc>
          <w:tcPr>
            <w:tcW w:w="1248" w:type="dxa"/>
            <w:shd w:val="clear" w:color="auto" w:fill="FFFFFF"/>
            <w:tcMar>
              <w:left w:w="85" w:type="dxa"/>
              <w:right w:w="85" w:type="dxa"/>
            </w:tcMar>
            <w:vAlign w:val="center"/>
          </w:tcPr>
          <w:p w14:paraId="63F03761" w14:textId="77777777" w:rsidR="00060E59" w:rsidRDefault="00682037">
            <w:pPr>
              <w:pStyle w:val="Tablebody"/>
              <w:jc w:val="center"/>
              <w:rPr>
                <w:rFonts w:eastAsia="MYingHei_18030_C-Medium"/>
                <w:color w:val="auto"/>
              </w:rPr>
            </w:pPr>
            <w:r>
              <w:rPr>
                <w:rFonts w:eastAsia="MYingHei_18030_C-Medium"/>
                <w:color w:val="auto"/>
              </w:rPr>
              <w:t>128</w:t>
            </w:r>
          </w:p>
        </w:tc>
      </w:tr>
      <w:tr w:rsidR="00060E59" w14:paraId="40CFB54F" w14:textId="77777777">
        <w:trPr>
          <w:cantSplit/>
          <w:trHeight w:val="425"/>
          <w:jc w:val="center"/>
        </w:trPr>
        <w:tc>
          <w:tcPr>
            <w:tcW w:w="5699" w:type="dxa"/>
            <w:shd w:val="clear" w:color="auto" w:fill="FFFFFF"/>
            <w:tcMar>
              <w:left w:w="85" w:type="dxa"/>
              <w:right w:w="85" w:type="dxa"/>
            </w:tcMar>
            <w:vAlign w:val="center"/>
          </w:tcPr>
          <w:p w14:paraId="61A54C00" w14:textId="77777777" w:rsidR="00060E59" w:rsidRDefault="00682037">
            <w:pPr>
              <w:pStyle w:val="Tablebody"/>
              <w:jc w:val="left"/>
              <w:rPr>
                <w:rFonts w:eastAsia="MYingHei_18030_C-Medium"/>
                <w:color w:val="auto"/>
              </w:rPr>
            </w:pPr>
            <w:r>
              <w:rPr>
                <w:color w:val="auto"/>
              </w:rPr>
              <w:t>NT-</w:t>
            </w:r>
            <w:proofErr w:type="spellStart"/>
            <w:r>
              <w:rPr>
                <w:color w:val="auto"/>
              </w:rPr>
              <w:t>proBNP</w:t>
            </w:r>
            <w:proofErr w:type="spellEnd"/>
            <w:r>
              <w:rPr>
                <w:color w:val="auto"/>
              </w:rPr>
              <w:t xml:space="preserve">, </w:t>
            </w:r>
            <w:proofErr w:type="spellStart"/>
            <w:r>
              <w:rPr>
                <w:color w:val="auto"/>
              </w:rPr>
              <w:t>pg</w:t>
            </w:r>
            <w:proofErr w:type="spellEnd"/>
            <w:r>
              <w:rPr>
                <w:color w:val="auto"/>
              </w:rPr>
              <w:t>/mL</w:t>
            </w:r>
          </w:p>
        </w:tc>
        <w:tc>
          <w:tcPr>
            <w:tcW w:w="1248" w:type="dxa"/>
            <w:shd w:val="clear" w:color="auto" w:fill="FFFFFF"/>
            <w:tcMar>
              <w:left w:w="85" w:type="dxa"/>
              <w:right w:w="85" w:type="dxa"/>
            </w:tcMar>
            <w:vAlign w:val="center"/>
          </w:tcPr>
          <w:p w14:paraId="1D618248" w14:textId="77777777" w:rsidR="00060E59" w:rsidRDefault="00682037">
            <w:pPr>
              <w:pStyle w:val="Tablebody"/>
              <w:jc w:val="center"/>
              <w:rPr>
                <w:rFonts w:eastAsia="MYingHei_18030_C-Medium"/>
                <w:color w:val="auto"/>
              </w:rPr>
            </w:pPr>
            <w:r>
              <w:rPr>
                <w:rFonts w:eastAsia="MYingHei_18030_C-Medium"/>
                <w:color w:val="auto"/>
              </w:rPr>
              <w:t>238</w:t>
            </w:r>
          </w:p>
        </w:tc>
      </w:tr>
      <w:tr w:rsidR="00060E59" w14:paraId="6DFAABA0" w14:textId="77777777">
        <w:trPr>
          <w:cantSplit/>
          <w:trHeight w:val="425"/>
          <w:jc w:val="center"/>
        </w:trPr>
        <w:tc>
          <w:tcPr>
            <w:tcW w:w="5699" w:type="dxa"/>
            <w:shd w:val="clear" w:color="auto" w:fill="FFFFFF"/>
            <w:tcMar>
              <w:left w:w="85" w:type="dxa"/>
              <w:right w:w="85" w:type="dxa"/>
            </w:tcMar>
            <w:vAlign w:val="center"/>
          </w:tcPr>
          <w:p w14:paraId="7B6B7787" w14:textId="77777777" w:rsidR="00060E59" w:rsidRDefault="00682037">
            <w:pPr>
              <w:pStyle w:val="Tablebody"/>
              <w:jc w:val="left"/>
              <w:rPr>
                <w:rFonts w:eastAsia="MYingHei_18030_C-Medium"/>
                <w:color w:val="auto"/>
              </w:rPr>
            </w:pPr>
            <w:r>
              <w:rPr>
                <w:color w:val="auto"/>
              </w:rPr>
              <w:t>Lipoprotein(a), mg/L</w:t>
            </w:r>
          </w:p>
        </w:tc>
        <w:tc>
          <w:tcPr>
            <w:tcW w:w="1248" w:type="dxa"/>
            <w:shd w:val="clear" w:color="auto" w:fill="FFFFFF"/>
            <w:tcMar>
              <w:left w:w="85" w:type="dxa"/>
              <w:right w:w="85" w:type="dxa"/>
            </w:tcMar>
            <w:vAlign w:val="center"/>
          </w:tcPr>
          <w:p w14:paraId="64D58275" w14:textId="77777777" w:rsidR="00060E59" w:rsidRDefault="00682037">
            <w:pPr>
              <w:pStyle w:val="Tablebody"/>
              <w:jc w:val="center"/>
              <w:rPr>
                <w:rFonts w:eastAsia="MYingHei_18030_C-Medium"/>
                <w:color w:val="auto"/>
              </w:rPr>
            </w:pPr>
            <w:r>
              <w:rPr>
                <w:rFonts w:eastAsia="MYingHei_18030_C-Medium"/>
                <w:color w:val="auto"/>
              </w:rPr>
              <w:t>19</w:t>
            </w:r>
          </w:p>
        </w:tc>
      </w:tr>
      <w:tr w:rsidR="00060E59" w14:paraId="6394B26C" w14:textId="77777777">
        <w:trPr>
          <w:cantSplit/>
          <w:trHeight w:val="425"/>
          <w:jc w:val="center"/>
        </w:trPr>
        <w:tc>
          <w:tcPr>
            <w:tcW w:w="5699" w:type="dxa"/>
            <w:shd w:val="clear" w:color="auto" w:fill="FFFFFF"/>
            <w:tcMar>
              <w:left w:w="85" w:type="dxa"/>
              <w:right w:w="85" w:type="dxa"/>
            </w:tcMar>
            <w:vAlign w:val="center"/>
          </w:tcPr>
          <w:p w14:paraId="44971342" w14:textId="77777777" w:rsidR="00060E59" w:rsidRDefault="00682037">
            <w:pPr>
              <w:pStyle w:val="Tablebody"/>
              <w:jc w:val="left"/>
              <w:rPr>
                <w:rFonts w:eastAsia="MYingHei_18030_C-Medium"/>
                <w:color w:val="auto"/>
              </w:rPr>
            </w:pPr>
            <w:r>
              <w:rPr>
                <w:color w:val="auto"/>
              </w:rPr>
              <w:t xml:space="preserve">Triglyceride, </w:t>
            </w:r>
            <w:r>
              <w:rPr>
                <w:color w:val="auto"/>
              </w:rPr>
              <w:t>mmol/L</w:t>
            </w:r>
          </w:p>
        </w:tc>
        <w:tc>
          <w:tcPr>
            <w:tcW w:w="1248" w:type="dxa"/>
            <w:shd w:val="clear" w:color="auto" w:fill="FFFFFF"/>
            <w:tcMar>
              <w:left w:w="85" w:type="dxa"/>
              <w:right w:w="85" w:type="dxa"/>
            </w:tcMar>
            <w:vAlign w:val="center"/>
          </w:tcPr>
          <w:p w14:paraId="72CAA7CF" w14:textId="77777777" w:rsidR="00060E59" w:rsidRDefault="00682037">
            <w:pPr>
              <w:pStyle w:val="Tablebody"/>
              <w:jc w:val="center"/>
              <w:rPr>
                <w:rFonts w:eastAsia="MYingHei_18030_C-Medium"/>
                <w:color w:val="auto"/>
              </w:rPr>
            </w:pPr>
            <w:r>
              <w:rPr>
                <w:rFonts w:eastAsia="MYingHei_18030_C-Medium"/>
                <w:color w:val="auto"/>
              </w:rPr>
              <w:t>8</w:t>
            </w:r>
          </w:p>
        </w:tc>
      </w:tr>
      <w:tr w:rsidR="00060E59" w14:paraId="60636EDE" w14:textId="77777777">
        <w:trPr>
          <w:cantSplit/>
          <w:trHeight w:val="425"/>
          <w:jc w:val="center"/>
        </w:trPr>
        <w:tc>
          <w:tcPr>
            <w:tcW w:w="5699" w:type="dxa"/>
            <w:shd w:val="clear" w:color="auto" w:fill="FFFFFF"/>
            <w:tcMar>
              <w:left w:w="85" w:type="dxa"/>
              <w:right w:w="85" w:type="dxa"/>
            </w:tcMar>
            <w:vAlign w:val="center"/>
          </w:tcPr>
          <w:p w14:paraId="5A8DCDBF" w14:textId="77777777" w:rsidR="00060E59" w:rsidRDefault="00682037">
            <w:pPr>
              <w:pStyle w:val="Tablebody"/>
              <w:jc w:val="left"/>
              <w:rPr>
                <w:rFonts w:eastAsia="MYingHei_18030_C-Medium"/>
                <w:color w:val="auto"/>
              </w:rPr>
            </w:pPr>
            <w:r>
              <w:rPr>
                <w:color w:val="auto"/>
              </w:rPr>
              <w:t>HDL-C, mmol/L</w:t>
            </w:r>
          </w:p>
        </w:tc>
        <w:tc>
          <w:tcPr>
            <w:tcW w:w="1248" w:type="dxa"/>
            <w:shd w:val="clear" w:color="auto" w:fill="FFFFFF"/>
            <w:tcMar>
              <w:left w:w="85" w:type="dxa"/>
              <w:right w:w="85" w:type="dxa"/>
            </w:tcMar>
            <w:vAlign w:val="center"/>
          </w:tcPr>
          <w:p w14:paraId="0D1B038A" w14:textId="77777777" w:rsidR="00060E59" w:rsidRDefault="00682037">
            <w:pPr>
              <w:pStyle w:val="Tablebody"/>
              <w:jc w:val="center"/>
              <w:rPr>
                <w:rFonts w:eastAsia="MYingHei_18030_C-Medium"/>
                <w:color w:val="auto"/>
              </w:rPr>
            </w:pPr>
            <w:r>
              <w:rPr>
                <w:rFonts w:eastAsia="MYingHei_18030_C-Medium"/>
                <w:color w:val="auto"/>
              </w:rPr>
              <w:t>8</w:t>
            </w:r>
          </w:p>
        </w:tc>
      </w:tr>
      <w:tr w:rsidR="00060E59" w14:paraId="7A2BBC49" w14:textId="77777777">
        <w:trPr>
          <w:cantSplit/>
          <w:trHeight w:val="425"/>
          <w:jc w:val="center"/>
        </w:trPr>
        <w:tc>
          <w:tcPr>
            <w:tcW w:w="5699" w:type="dxa"/>
            <w:shd w:val="clear" w:color="auto" w:fill="FFFFFF"/>
            <w:tcMar>
              <w:left w:w="85" w:type="dxa"/>
              <w:right w:w="85" w:type="dxa"/>
            </w:tcMar>
            <w:vAlign w:val="center"/>
          </w:tcPr>
          <w:p w14:paraId="61A11B28" w14:textId="77777777" w:rsidR="00060E59" w:rsidRDefault="00682037">
            <w:pPr>
              <w:pStyle w:val="Tablebody"/>
              <w:jc w:val="left"/>
              <w:rPr>
                <w:rFonts w:eastAsia="MYingHei_18030_C-Medium"/>
                <w:color w:val="auto"/>
              </w:rPr>
            </w:pPr>
            <w:r>
              <w:rPr>
                <w:color w:val="auto"/>
              </w:rPr>
              <w:t>LDL-C, mmol/L</w:t>
            </w:r>
          </w:p>
        </w:tc>
        <w:tc>
          <w:tcPr>
            <w:tcW w:w="1248" w:type="dxa"/>
            <w:shd w:val="clear" w:color="auto" w:fill="FFFFFF"/>
            <w:tcMar>
              <w:left w:w="85" w:type="dxa"/>
              <w:right w:w="85" w:type="dxa"/>
            </w:tcMar>
            <w:vAlign w:val="center"/>
          </w:tcPr>
          <w:p w14:paraId="7C9BA592" w14:textId="77777777" w:rsidR="00060E59" w:rsidRDefault="00682037">
            <w:pPr>
              <w:pStyle w:val="Tablebody"/>
              <w:jc w:val="center"/>
              <w:rPr>
                <w:rFonts w:eastAsia="MYingHei_18030_C-Medium"/>
                <w:color w:val="auto"/>
              </w:rPr>
            </w:pPr>
            <w:r>
              <w:rPr>
                <w:rFonts w:eastAsia="MYingHei_18030_C-Medium"/>
                <w:color w:val="auto"/>
              </w:rPr>
              <w:t>8</w:t>
            </w:r>
          </w:p>
        </w:tc>
      </w:tr>
      <w:tr w:rsidR="00060E59" w14:paraId="3C9AAF21" w14:textId="77777777">
        <w:trPr>
          <w:cantSplit/>
          <w:trHeight w:val="425"/>
          <w:jc w:val="center"/>
        </w:trPr>
        <w:tc>
          <w:tcPr>
            <w:tcW w:w="5699" w:type="dxa"/>
            <w:shd w:val="clear" w:color="auto" w:fill="FFFFFF"/>
            <w:tcMar>
              <w:left w:w="85" w:type="dxa"/>
              <w:right w:w="85" w:type="dxa"/>
            </w:tcMar>
            <w:vAlign w:val="center"/>
          </w:tcPr>
          <w:p w14:paraId="7AE32C3C" w14:textId="77777777" w:rsidR="00060E59" w:rsidRDefault="00682037">
            <w:pPr>
              <w:pStyle w:val="Tablebody"/>
              <w:jc w:val="left"/>
              <w:rPr>
                <w:rFonts w:eastAsia="MYingHei_18030_C-Medium"/>
                <w:color w:val="auto"/>
              </w:rPr>
            </w:pPr>
            <w:r>
              <w:rPr>
                <w:color w:val="auto"/>
              </w:rPr>
              <w:t>LDL-C/HDL-C</w:t>
            </w:r>
          </w:p>
        </w:tc>
        <w:tc>
          <w:tcPr>
            <w:tcW w:w="1248" w:type="dxa"/>
            <w:shd w:val="clear" w:color="auto" w:fill="FFFFFF"/>
            <w:tcMar>
              <w:left w:w="85" w:type="dxa"/>
              <w:right w:w="85" w:type="dxa"/>
            </w:tcMar>
            <w:vAlign w:val="center"/>
          </w:tcPr>
          <w:p w14:paraId="7824F367" w14:textId="77777777" w:rsidR="00060E59" w:rsidRDefault="00682037">
            <w:pPr>
              <w:pStyle w:val="Tablebody"/>
              <w:jc w:val="center"/>
              <w:rPr>
                <w:rFonts w:eastAsia="MYingHei_18030_C-Medium"/>
                <w:color w:val="auto"/>
              </w:rPr>
            </w:pPr>
            <w:r>
              <w:rPr>
                <w:rFonts w:eastAsia="MYingHei_18030_C-Medium"/>
                <w:color w:val="auto"/>
              </w:rPr>
              <w:t>8</w:t>
            </w:r>
          </w:p>
        </w:tc>
      </w:tr>
    </w:tbl>
    <w:p w14:paraId="153D5072" w14:textId="77777777" w:rsidR="00060E59" w:rsidRDefault="00682037">
      <w:pPr>
        <w:pStyle w:val="Tablefooter"/>
        <w:rPr>
          <w:rFonts w:eastAsia="MYingHei_18030_C-Medium"/>
          <w:color w:val="auto"/>
        </w:rPr>
      </w:pPr>
      <w:r>
        <w:rPr>
          <w:rFonts w:eastAsia="MYingHei_18030_C-Medium"/>
          <w:color w:val="auto"/>
        </w:rPr>
        <w:t>eGFR indicates estimated glomerular filtration rate; NT-</w:t>
      </w:r>
      <w:proofErr w:type="spellStart"/>
      <w:r>
        <w:rPr>
          <w:rFonts w:eastAsia="MYingHei_18030_C-Medium"/>
          <w:color w:val="auto"/>
        </w:rPr>
        <w:t>proBNP</w:t>
      </w:r>
      <w:proofErr w:type="spellEnd"/>
      <w:r>
        <w:rPr>
          <w:rFonts w:eastAsia="MYingHei_18030_C-Medium"/>
          <w:color w:val="auto"/>
        </w:rPr>
        <w:t xml:space="preserve">, N-terminal brain natriuretic peptide; No., number; HDL-C, high-density lipoprotein cholesterol; LDL-C, low-density lipoprotein </w:t>
      </w:r>
      <w:r>
        <w:rPr>
          <w:rFonts w:eastAsia="MYingHei_18030_C-Medium"/>
          <w:color w:val="auto"/>
        </w:rPr>
        <w:t>cholesterol.</w:t>
      </w:r>
    </w:p>
    <w:p w14:paraId="6C43D584" w14:textId="77777777" w:rsidR="00060E59" w:rsidRDefault="00682037">
      <w:pPr>
        <w:pStyle w:val="Tablefooter"/>
        <w:rPr>
          <w:rFonts w:eastAsia="宋体"/>
          <w:color w:val="auto"/>
        </w:rPr>
      </w:pPr>
      <w:proofErr w:type="gramStart"/>
      <w:r>
        <w:rPr>
          <w:color w:val="auto"/>
          <w:shd w:val="clear" w:color="auto" w:fill="FFFFFF"/>
          <w:vertAlign w:val="superscript"/>
        </w:rPr>
        <w:t>†</w:t>
      </w:r>
      <w:r>
        <w:rPr>
          <w:rFonts w:eastAsia="宋体"/>
          <w:color w:val="auto"/>
        </w:rPr>
        <w:t>“</w:t>
      </w:r>
      <w:proofErr w:type="gramEnd"/>
      <w:r>
        <w:rPr>
          <w:rFonts w:eastAsia="宋体"/>
          <w:color w:val="auto"/>
        </w:rPr>
        <w:t>Aspirin” and “Statins” stand for usage of the two medications in the past 7 days prior to laboratory tests.</w:t>
      </w:r>
    </w:p>
    <w:p w14:paraId="05FB8B39" w14:textId="77777777" w:rsidR="00060E59" w:rsidRDefault="00060E59">
      <w:pPr>
        <w:autoSpaceDE w:val="0"/>
        <w:autoSpaceDN w:val="0"/>
        <w:adjustRightInd w:val="0"/>
        <w:ind w:firstLineChars="200" w:firstLine="400"/>
        <w:jc w:val="center"/>
        <w:rPr>
          <w:rFonts w:ascii="Times New Roman" w:hAnsi="Times New Roman"/>
          <w:b/>
          <w:sz w:val="20"/>
          <w:szCs w:val="20"/>
        </w:rPr>
      </w:pPr>
    </w:p>
    <w:p w14:paraId="6B675EDE" w14:textId="77777777" w:rsidR="00060E59" w:rsidRDefault="00060E59">
      <w:pPr>
        <w:autoSpaceDE w:val="0"/>
        <w:autoSpaceDN w:val="0"/>
        <w:adjustRightInd w:val="0"/>
        <w:ind w:firstLineChars="200" w:firstLine="400"/>
        <w:jc w:val="center"/>
        <w:rPr>
          <w:rFonts w:ascii="Times New Roman" w:hAnsi="Times New Roman"/>
          <w:b/>
          <w:sz w:val="20"/>
          <w:szCs w:val="20"/>
        </w:rPr>
      </w:pPr>
    </w:p>
    <w:p w14:paraId="10CF7A2D" w14:textId="27E578FF" w:rsidR="00060E59" w:rsidRDefault="00682037">
      <w:pPr>
        <w:autoSpaceDE w:val="0"/>
        <w:autoSpaceDN w:val="0"/>
        <w:adjustRightInd w:val="0"/>
        <w:ind w:firstLineChars="200" w:firstLine="400"/>
        <w:jc w:val="center"/>
        <w:rPr>
          <w:rFonts w:ascii="Times New Roman" w:hAnsi="Times New Roman"/>
          <w:b/>
          <w:sz w:val="20"/>
          <w:szCs w:val="20"/>
        </w:rPr>
      </w:pPr>
      <w:r>
        <w:rPr>
          <w:rFonts w:ascii="Times New Roman" w:hAnsi="Times New Roman"/>
          <w:b/>
          <w:sz w:val="20"/>
          <w:szCs w:val="20"/>
        </w:rPr>
        <w:t>Table S</w:t>
      </w:r>
      <w:r>
        <w:rPr>
          <w:rFonts w:ascii="Times New Roman" w:hAnsi="Times New Roman" w:hint="eastAsia"/>
          <w:b/>
          <w:sz w:val="20"/>
          <w:szCs w:val="20"/>
        </w:rPr>
        <w:t>2</w:t>
      </w:r>
      <w:r>
        <w:rPr>
          <w:rFonts w:ascii="Times New Roman" w:hAnsi="Times New Roman"/>
          <w:b/>
          <w:sz w:val="20"/>
          <w:szCs w:val="20"/>
        </w:rPr>
        <w:t xml:space="preserve"> Number and proportions of missing data as well as missingness patterns in the modeling process of Models 1 and 2</w:t>
      </w:r>
    </w:p>
    <w:tbl>
      <w:tblPr>
        <w:tblW w:w="0" w:type="auto"/>
        <w:jc w:val="center"/>
        <w:tblLayout w:type="fixed"/>
        <w:tblCellMar>
          <w:left w:w="0" w:type="dxa"/>
          <w:right w:w="0" w:type="dxa"/>
        </w:tblCellMar>
        <w:tblLook w:val="04A0" w:firstRow="1" w:lastRow="0" w:firstColumn="1" w:lastColumn="0" w:noHBand="0" w:noVBand="1"/>
      </w:tblPr>
      <w:tblGrid>
        <w:gridCol w:w="850"/>
        <w:gridCol w:w="860"/>
        <w:gridCol w:w="860"/>
        <w:gridCol w:w="860"/>
        <w:gridCol w:w="860"/>
        <w:gridCol w:w="860"/>
        <w:gridCol w:w="860"/>
        <w:gridCol w:w="860"/>
        <w:gridCol w:w="860"/>
        <w:gridCol w:w="860"/>
      </w:tblGrid>
      <w:tr w:rsidR="00060E59" w14:paraId="498059A4" w14:textId="77777777">
        <w:trPr>
          <w:cantSplit/>
          <w:jc w:val="center"/>
        </w:trPr>
        <w:tc>
          <w:tcPr>
            <w:tcW w:w="850" w:type="dxa"/>
            <w:tcBorders>
              <w:top w:val="single" w:sz="4" w:space="0" w:color="000000"/>
              <w:left w:val="nil"/>
              <w:bottom w:val="single" w:sz="4" w:space="0" w:color="000000"/>
              <w:right w:val="nil"/>
            </w:tcBorders>
            <w:shd w:val="clear" w:color="auto" w:fill="FFFFFF"/>
            <w:vAlign w:val="center"/>
          </w:tcPr>
          <w:p w14:paraId="028ECC85" w14:textId="77777777" w:rsidR="00060E59" w:rsidRDefault="00682037">
            <w:pPr>
              <w:autoSpaceDE w:val="0"/>
              <w:autoSpaceDN w:val="0"/>
              <w:adjustRightInd w:val="0"/>
              <w:rPr>
                <w:rFonts w:ascii="Times New Roman" w:hAnsi="Times New Roman"/>
                <w:sz w:val="20"/>
                <w:szCs w:val="20"/>
              </w:rPr>
            </w:pPr>
            <w:bookmarkStart w:id="2" w:name="IDX"/>
            <w:bookmarkEnd w:id="2"/>
            <w:r>
              <w:rPr>
                <w:rFonts w:ascii="Times New Roman" w:hAnsi="Times New Roman"/>
                <w:sz w:val="20"/>
                <w:szCs w:val="20"/>
              </w:rPr>
              <w:lastRenderedPageBreak/>
              <w:t xml:space="preserve">Pattern </w:t>
            </w:r>
            <w:r>
              <w:rPr>
                <w:rFonts w:ascii="Times New Roman" w:hAnsi="Times New Roman"/>
                <w:sz w:val="20"/>
                <w:szCs w:val="20"/>
              </w:rPr>
              <w:t>No.</w:t>
            </w:r>
          </w:p>
        </w:tc>
        <w:tc>
          <w:tcPr>
            <w:tcW w:w="860" w:type="dxa"/>
            <w:tcBorders>
              <w:top w:val="single" w:sz="4" w:space="0" w:color="000000"/>
              <w:left w:val="nil"/>
              <w:bottom w:val="single" w:sz="4" w:space="0" w:color="000000"/>
              <w:right w:val="nil"/>
            </w:tcBorders>
            <w:shd w:val="clear" w:color="auto" w:fill="FFFFFF"/>
            <w:vAlign w:val="center"/>
          </w:tcPr>
          <w:p w14:paraId="3B48B853" w14:textId="77777777" w:rsidR="00060E59" w:rsidRDefault="00682037">
            <w:pPr>
              <w:autoSpaceDE w:val="0"/>
              <w:autoSpaceDN w:val="0"/>
              <w:adjustRightInd w:val="0"/>
              <w:jc w:val="center"/>
              <w:rPr>
                <w:rFonts w:ascii="Times New Roman" w:hAnsi="Times New Roman"/>
                <w:sz w:val="20"/>
                <w:szCs w:val="20"/>
              </w:rPr>
            </w:pPr>
            <w:r>
              <w:rPr>
                <w:rFonts w:ascii="Times New Roman" w:hAnsi="Times New Roman"/>
                <w:sz w:val="20"/>
                <w:szCs w:val="20"/>
              </w:rPr>
              <w:t>Gender</w:t>
            </w:r>
          </w:p>
        </w:tc>
        <w:tc>
          <w:tcPr>
            <w:tcW w:w="860" w:type="dxa"/>
            <w:tcBorders>
              <w:top w:val="single" w:sz="4" w:space="0" w:color="000000"/>
              <w:left w:val="nil"/>
              <w:bottom w:val="single" w:sz="4" w:space="0" w:color="000000"/>
              <w:right w:val="nil"/>
            </w:tcBorders>
            <w:shd w:val="clear" w:color="auto" w:fill="FFFFFF"/>
            <w:vAlign w:val="center"/>
          </w:tcPr>
          <w:p w14:paraId="6FD40FDC" w14:textId="77777777" w:rsidR="00060E59" w:rsidRDefault="00682037">
            <w:pPr>
              <w:autoSpaceDE w:val="0"/>
              <w:autoSpaceDN w:val="0"/>
              <w:adjustRightInd w:val="0"/>
              <w:jc w:val="center"/>
              <w:rPr>
                <w:rFonts w:ascii="Times New Roman" w:hAnsi="Times New Roman"/>
                <w:sz w:val="20"/>
                <w:szCs w:val="20"/>
              </w:rPr>
            </w:pPr>
            <w:r>
              <w:rPr>
                <w:rFonts w:ascii="Times New Roman" w:hAnsi="Times New Roman"/>
                <w:sz w:val="20"/>
                <w:szCs w:val="20"/>
              </w:rPr>
              <w:t>Age</w:t>
            </w:r>
            <w:r>
              <w:rPr>
                <w:rFonts w:ascii="Times New Roman" w:hAnsi="Times New Roman"/>
                <w:sz w:val="20"/>
                <w:szCs w:val="20"/>
              </w:rPr>
              <w:br/>
              <w:t>(years)</w:t>
            </w:r>
          </w:p>
        </w:tc>
        <w:tc>
          <w:tcPr>
            <w:tcW w:w="860" w:type="dxa"/>
            <w:tcBorders>
              <w:top w:val="single" w:sz="4" w:space="0" w:color="000000"/>
              <w:left w:val="nil"/>
              <w:bottom w:val="single" w:sz="4" w:space="0" w:color="000000"/>
              <w:right w:val="nil"/>
            </w:tcBorders>
            <w:shd w:val="clear" w:color="auto" w:fill="FFFFFF"/>
            <w:vAlign w:val="center"/>
          </w:tcPr>
          <w:p w14:paraId="3571553F" w14:textId="77777777" w:rsidR="00060E59" w:rsidRDefault="00682037">
            <w:pPr>
              <w:autoSpaceDE w:val="0"/>
              <w:autoSpaceDN w:val="0"/>
              <w:adjustRightInd w:val="0"/>
              <w:jc w:val="center"/>
              <w:rPr>
                <w:rFonts w:ascii="Times New Roman" w:hAnsi="Times New Roman"/>
                <w:sz w:val="20"/>
                <w:szCs w:val="20"/>
              </w:rPr>
            </w:pPr>
            <w:r>
              <w:rPr>
                <w:rFonts w:ascii="Times New Roman" w:hAnsi="Times New Roman"/>
                <w:sz w:val="20"/>
                <w:szCs w:val="20"/>
              </w:rPr>
              <w:t>LDL-C</w:t>
            </w:r>
          </w:p>
        </w:tc>
        <w:tc>
          <w:tcPr>
            <w:tcW w:w="860" w:type="dxa"/>
            <w:tcBorders>
              <w:top w:val="single" w:sz="4" w:space="0" w:color="000000"/>
              <w:left w:val="nil"/>
              <w:bottom w:val="single" w:sz="4" w:space="0" w:color="000000"/>
              <w:right w:val="nil"/>
            </w:tcBorders>
            <w:shd w:val="clear" w:color="auto" w:fill="FFFFFF"/>
            <w:vAlign w:val="center"/>
          </w:tcPr>
          <w:p w14:paraId="57E02222" w14:textId="77777777" w:rsidR="00060E59" w:rsidRDefault="00682037">
            <w:pPr>
              <w:autoSpaceDE w:val="0"/>
              <w:autoSpaceDN w:val="0"/>
              <w:adjustRightInd w:val="0"/>
              <w:jc w:val="center"/>
              <w:rPr>
                <w:rFonts w:ascii="Times New Roman" w:hAnsi="Times New Roman"/>
                <w:sz w:val="20"/>
                <w:szCs w:val="20"/>
              </w:rPr>
            </w:pPr>
            <w:r>
              <w:rPr>
                <w:rFonts w:ascii="Times New Roman" w:hAnsi="Times New Roman"/>
                <w:sz w:val="20"/>
                <w:szCs w:val="20"/>
              </w:rPr>
              <w:t>Diabetes</w:t>
            </w:r>
          </w:p>
        </w:tc>
        <w:tc>
          <w:tcPr>
            <w:tcW w:w="860" w:type="dxa"/>
            <w:tcBorders>
              <w:top w:val="single" w:sz="4" w:space="0" w:color="000000"/>
              <w:left w:val="nil"/>
              <w:bottom w:val="single" w:sz="4" w:space="0" w:color="000000"/>
              <w:right w:val="nil"/>
            </w:tcBorders>
            <w:shd w:val="clear" w:color="auto" w:fill="FFFFFF"/>
            <w:vAlign w:val="center"/>
          </w:tcPr>
          <w:p w14:paraId="4C8A60CC" w14:textId="77777777" w:rsidR="00060E59" w:rsidRDefault="00682037">
            <w:pPr>
              <w:autoSpaceDE w:val="0"/>
              <w:autoSpaceDN w:val="0"/>
              <w:adjustRightInd w:val="0"/>
              <w:jc w:val="center"/>
              <w:rPr>
                <w:rFonts w:ascii="Times New Roman" w:hAnsi="Times New Roman"/>
                <w:sz w:val="20"/>
                <w:szCs w:val="20"/>
              </w:rPr>
            </w:pPr>
            <w:r>
              <w:rPr>
                <w:rFonts w:ascii="Times New Roman" w:hAnsi="Times New Roman"/>
                <w:sz w:val="20"/>
                <w:szCs w:val="20"/>
              </w:rPr>
              <w:t>Current Smoking</w:t>
            </w:r>
          </w:p>
        </w:tc>
        <w:tc>
          <w:tcPr>
            <w:tcW w:w="860" w:type="dxa"/>
            <w:tcBorders>
              <w:top w:val="single" w:sz="4" w:space="0" w:color="000000"/>
              <w:left w:val="nil"/>
              <w:bottom w:val="single" w:sz="4" w:space="0" w:color="000000"/>
              <w:right w:val="nil"/>
            </w:tcBorders>
            <w:shd w:val="clear" w:color="auto" w:fill="FFFFFF"/>
            <w:vAlign w:val="center"/>
          </w:tcPr>
          <w:p w14:paraId="73B041E8" w14:textId="77777777" w:rsidR="00060E59" w:rsidRDefault="00682037">
            <w:pPr>
              <w:autoSpaceDE w:val="0"/>
              <w:autoSpaceDN w:val="0"/>
              <w:adjustRightInd w:val="0"/>
              <w:jc w:val="center"/>
              <w:rPr>
                <w:rFonts w:ascii="Times New Roman" w:hAnsi="Times New Roman"/>
                <w:sz w:val="20"/>
                <w:szCs w:val="20"/>
              </w:rPr>
            </w:pPr>
            <w:r>
              <w:rPr>
                <w:rFonts w:ascii="Times New Roman" w:hAnsi="Times New Roman"/>
                <w:sz w:val="20"/>
                <w:szCs w:val="20"/>
              </w:rPr>
              <w:t>Aspirin</w:t>
            </w:r>
          </w:p>
        </w:tc>
        <w:tc>
          <w:tcPr>
            <w:tcW w:w="860" w:type="dxa"/>
            <w:tcBorders>
              <w:top w:val="single" w:sz="4" w:space="0" w:color="000000"/>
              <w:left w:val="nil"/>
              <w:bottom w:val="single" w:sz="4" w:space="0" w:color="000000"/>
              <w:right w:val="nil"/>
            </w:tcBorders>
            <w:shd w:val="clear" w:color="auto" w:fill="FFFFFF"/>
            <w:vAlign w:val="center"/>
          </w:tcPr>
          <w:p w14:paraId="4BDD4C47" w14:textId="77777777" w:rsidR="00060E59" w:rsidRDefault="00682037">
            <w:pPr>
              <w:autoSpaceDE w:val="0"/>
              <w:autoSpaceDN w:val="0"/>
              <w:adjustRightInd w:val="0"/>
              <w:jc w:val="center"/>
              <w:rPr>
                <w:rFonts w:ascii="Times New Roman" w:hAnsi="Times New Roman"/>
                <w:sz w:val="20"/>
                <w:szCs w:val="20"/>
              </w:rPr>
            </w:pPr>
            <w:r>
              <w:rPr>
                <w:rFonts w:ascii="Times New Roman" w:hAnsi="Times New Roman"/>
                <w:sz w:val="20"/>
                <w:szCs w:val="20"/>
              </w:rPr>
              <w:t>Statins</w:t>
            </w:r>
          </w:p>
        </w:tc>
        <w:tc>
          <w:tcPr>
            <w:tcW w:w="860" w:type="dxa"/>
            <w:tcBorders>
              <w:top w:val="single" w:sz="4" w:space="0" w:color="000000"/>
              <w:left w:val="nil"/>
              <w:bottom w:val="single" w:sz="4" w:space="0" w:color="000000"/>
              <w:right w:val="nil"/>
            </w:tcBorders>
            <w:shd w:val="clear" w:color="auto" w:fill="FFFFFF"/>
            <w:vAlign w:val="center"/>
          </w:tcPr>
          <w:p w14:paraId="03C42852" w14:textId="77777777" w:rsidR="00060E59" w:rsidRDefault="00682037">
            <w:pPr>
              <w:autoSpaceDE w:val="0"/>
              <w:autoSpaceDN w:val="0"/>
              <w:adjustRightInd w:val="0"/>
              <w:jc w:val="center"/>
              <w:rPr>
                <w:rFonts w:ascii="Times New Roman" w:hAnsi="Times New Roman"/>
                <w:sz w:val="20"/>
                <w:szCs w:val="20"/>
              </w:rPr>
            </w:pPr>
            <w:r>
              <w:rPr>
                <w:rFonts w:ascii="Times New Roman" w:hAnsi="Times New Roman"/>
                <w:sz w:val="20"/>
                <w:szCs w:val="20"/>
              </w:rPr>
              <w:t>No. of records with this pattern</w:t>
            </w:r>
          </w:p>
        </w:tc>
        <w:tc>
          <w:tcPr>
            <w:tcW w:w="860" w:type="dxa"/>
            <w:tcBorders>
              <w:top w:val="single" w:sz="4" w:space="0" w:color="000000"/>
              <w:left w:val="nil"/>
              <w:bottom w:val="single" w:sz="4" w:space="0" w:color="000000"/>
              <w:right w:val="nil"/>
            </w:tcBorders>
            <w:shd w:val="clear" w:color="auto" w:fill="FFFFFF"/>
            <w:vAlign w:val="center"/>
          </w:tcPr>
          <w:p w14:paraId="174B942E" w14:textId="77777777" w:rsidR="00060E59" w:rsidRDefault="00682037">
            <w:pPr>
              <w:autoSpaceDE w:val="0"/>
              <w:autoSpaceDN w:val="0"/>
              <w:adjustRightInd w:val="0"/>
              <w:jc w:val="center"/>
              <w:rPr>
                <w:rFonts w:ascii="Times New Roman" w:hAnsi="Times New Roman"/>
                <w:sz w:val="20"/>
                <w:szCs w:val="20"/>
              </w:rPr>
            </w:pPr>
            <w:r>
              <w:rPr>
                <w:rFonts w:ascii="Times New Roman" w:hAnsi="Times New Roman"/>
                <w:sz w:val="20"/>
                <w:szCs w:val="20"/>
              </w:rPr>
              <w:t>Proportion of records with this pattern</w:t>
            </w:r>
            <w:r>
              <w:rPr>
                <w:rFonts w:ascii="Times New Roman" w:hAnsi="Times New Roman" w:hint="eastAsia"/>
                <w:sz w:val="20"/>
                <w:szCs w:val="20"/>
              </w:rPr>
              <w:t xml:space="preserve"> (%)</w:t>
            </w:r>
          </w:p>
        </w:tc>
      </w:tr>
      <w:tr w:rsidR="00060E59" w14:paraId="0AA809E9" w14:textId="77777777">
        <w:trPr>
          <w:cantSplit/>
          <w:jc w:val="center"/>
        </w:trPr>
        <w:tc>
          <w:tcPr>
            <w:tcW w:w="850" w:type="dxa"/>
            <w:tcBorders>
              <w:top w:val="nil"/>
              <w:left w:val="nil"/>
              <w:bottom w:val="nil"/>
              <w:right w:val="nil"/>
            </w:tcBorders>
            <w:shd w:val="clear" w:color="auto" w:fill="FFFFFF"/>
            <w:vAlign w:val="center"/>
          </w:tcPr>
          <w:p w14:paraId="5BFBB381"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1</w:t>
            </w:r>
          </w:p>
        </w:tc>
        <w:tc>
          <w:tcPr>
            <w:tcW w:w="860" w:type="dxa"/>
            <w:tcBorders>
              <w:top w:val="nil"/>
              <w:left w:val="nil"/>
              <w:bottom w:val="nil"/>
              <w:right w:val="nil"/>
            </w:tcBorders>
            <w:shd w:val="clear" w:color="auto" w:fill="FFFFFF"/>
            <w:vAlign w:val="center"/>
          </w:tcPr>
          <w:p w14:paraId="62224E47"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5921E1A4"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03DA4758"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67EFAA9F"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707183AE"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4DD595F5"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15E6B9A3"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4F6C6FB1"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624</w:t>
            </w:r>
          </w:p>
        </w:tc>
        <w:tc>
          <w:tcPr>
            <w:tcW w:w="860" w:type="dxa"/>
            <w:tcBorders>
              <w:top w:val="nil"/>
              <w:left w:val="nil"/>
              <w:bottom w:val="nil"/>
              <w:right w:val="nil"/>
            </w:tcBorders>
            <w:shd w:val="clear" w:color="auto" w:fill="FFFFFF"/>
            <w:vAlign w:val="center"/>
          </w:tcPr>
          <w:p w14:paraId="0E05AC1A"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89.91</w:t>
            </w:r>
          </w:p>
        </w:tc>
      </w:tr>
      <w:tr w:rsidR="00060E59" w14:paraId="739BF76A" w14:textId="77777777">
        <w:trPr>
          <w:cantSplit/>
          <w:jc w:val="center"/>
        </w:trPr>
        <w:tc>
          <w:tcPr>
            <w:tcW w:w="850" w:type="dxa"/>
            <w:tcBorders>
              <w:top w:val="nil"/>
              <w:left w:val="nil"/>
              <w:bottom w:val="nil"/>
              <w:right w:val="nil"/>
            </w:tcBorders>
            <w:shd w:val="clear" w:color="auto" w:fill="FFFFFF"/>
            <w:vAlign w:val="center"/>
          </w:tcPr>
          <w:p w14:paraId="6B90E66A"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2</w:t>
            </w:r>
          </w:p>
        </w:tc>
        <w:tc>
          <w:tcPr>
            <w:tcW w:w="860" w:type="dxa"/>
            <w:tcBorders>
              <w:top w:val="nil"/>
              <w:left w:val="nil"/>
              <w:bottom w:val="nil"/>
              <w:right w:val="nil"/>
            </w:tcBorders>
            <w:shd w:val="clear" w:color="auto" w:fill="FFFFFF"/>
            <w:vAlign w:val="center"/>
          </w:tcPr>
          <w:p w14:paraId="30E4683F"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457FF68D"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59226BDE"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18910C07"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0F871CFF"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4D701BCE"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60E79E60"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nil"/>
              <w:right w:val="nil"/>
            </w:tcBorders>
            <w:shd w:val="clear" w:color="auto" w:fill="FFFFFF"/>
            <w:vAlign w:val="center"/>
          </w:tcPr>
          <w:p w14:paraId="30B3C256"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1</w:t>
            </w:r>
          </w:p>
        </w:tc>
        <w:tc>
          <w:tcPr>
            <w:tcW w:w="860" w:type="dxa"/>
            <w:tcBorders>
              <w:top w:val="nil"/>
              <w:left w:val="nil"/>
              <w:bottom w:val="nil"/>
              <w:right w:val="nil"/>
            </w:tcBorders>
            <w:shd w:val="clear" w:color="auto" w:fill="FFFFFF"/>
            <w:vAlign w:val="center"/>
          </w:tcPr>
          <w:p w14:paraId="7B332193"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0.14</w:t>
            </w:r>
          </w:p>
        </w:tc>
      </w:tr>
      <w:tr w:rsidR="00060E59" w14:paraId="07B5E63F" w14:textId="77777777">
        <w:trPr>
          <w:cantSplit/>
          <w:jc w:val="center"/>
        </w:trPr>
        <w:tc>
          <w:tcPr>
            <w:tcW w:w="850" w:type="dxa"/>
            <w:tcBorders>
              <w:top w:val="nil"/>
              <w:left w:val="nil"/>
              <w:bottom w:val="nil"/>
              <w:right w:val="nil"/>
            </w:tcBorders>
            <w:shd w:val="clear" w:color="auto" w:fill="FFFFFF"/>
            <w:vAlign w:val="center"/>
          </w:tcPr>
          <w:p w14:paraId="416F96D1"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3</w:t>
            </w:r>
          </w:p>
        </w:tc>
        <w:tc>
          <w:tcPr>
            <w:tcW w:w="860" w:type="dxa"/>
            <w:tcBorders>
              <w:top w:val="nil"/>
              <w:left w:val="nil"/>
              <w:bottom w:val="nil"/>
              <w:right w:val="nil"/>
            </w:tcBorders>
            <w:shd w:val="clear" w:color="auto" w:fill="FFFFFF"/>
            <w:vAlign w:val="center"/>
          </w:tcPr>
          <w:p w14:paraId="70F9ACC2"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356590B4"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146D178B"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382CF448"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2FA43E42"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4AF5241F"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nil"/>
              <w:right w:val="nil"/>
            </w:tcBorders>
            <w:shd w:val="clear" w:color="auto" w:fill="FFFFFF"/>
            <w:vAlign w:val="center"/>
          </w:tcPr>
          <w:p w14:paraId="3977914E"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3B0E2139"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1</w:t>
            </w:r>
          </w:p>
        </w:tc>
        <w:tc>
          <w:tcPr>
            <w:tcW w:w="860" w:type="dxa"/>
            <w:tcBorders>
              <w:top w:val="nil"/>
              <w:left w:val="nil"/>
              <w:bottom w:val="nil"/>
              <w:right w:val="nil"/>
            </w:tcBorders>
            <w:shd w:val="clear" w:color="auto" w:fill="FFFFFF"/>
            <w:vAlign w:val="center"/>
          </w:tcPr>
          <w:p w14:paraId="281D50EA"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0.14</w:t>
            </w:r>
          </w:p>
        </w:tc>
      </w:tr>
      <w:tr w:rsidR="00060E59" w14:paraId="6AD93433" w14:textId="77777777">
        <w:trPr>
          <w:cantSplit/>
          <w:jc w:val="center"/>
        </w:trPr>
        <w:tc>
          <w:tcPr>
            <w:tcW w:w="850" w:type="dxa"/>
            <w:tcBorders>
              <w:top w:val="nil"/>
              <w:left w:val="nil"/>
              <w:bottom w:val="nil"/>
              <w:right w:val="nil"/>
            </w:tcBorders>
            <w:shd w:val="clear" w:color="auto" w:fill="FFFFFF"/>
            <w:vAlign w:val="center"/>
          </w:tcPr>
          <w:p w14:paraId="684EAC11"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4</w:t>
            </w:r>
          </w:p>
        </w:tc>
        <w:tc>
          <w:tcPr>
            <w:tcW w:w="860" w:type="dxa"/>
            <w:tcBorders>
              <w:top w:val="nil"/>
              <w:left w:val="nil"/>
              <w:bottom w:val="nil"/>
              <w:right w:val="nil"/>
            </w:tcBorders>
            <w:shd w:val="clear" w:color="auto" w:fill="FFFFFF"/>
            <w:vAlign w:val="center"/>
          </w:tcPr>
          <w:p w14:paraId="2D2BF652"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0A958215"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24AC0E63"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77B0ACA0"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4FDB6CF6"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2FEFF681"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nil"/>
              <w:right w:val="nil"/>
            </w:tcBorders>
            <w:shd w:val="clear" w:color="auto" w:fill="FFFFFF"/>
            <w:vAlign w:val="center"/>
          </w:tcPr>
          <w:p w14:paraId="23D0843D"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nil"/>
              <w:right w:val="nil"/>
            </w:tcBorders>
            <w:shd w:val="clear" w:color="auto" w:fill="FFFFFF"/>
            <w:vAlign w:val="center"/>
          </w:tcPr>
          <w:p w14:paraId="116DD5AE"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12</w:t>
            </w:r>
          </w:p>
        </w:tc>
        <w:tc>
          <w:tcPr>
            <w:tcW w:w="860" w:type="dxa"/>
            <w:tcBorders>
              <w:top w:val="nil"/>
              <w:left w:val="nil"/>
              <w:bottom w:val="nil"/>
              <w:right w:val="nil"/>
            </w:tcBorders>
            <w:shd w:val="clear" w:color="auto" w:fill="FFFFFF"/>
            <w:vAlign w:val="center"/>
          </w:tcPr>
          <w:p w14:paraId="3DAB2C8F"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1.73</w:t>
            </w:r>
          </w:p>
        </w:tc>
      </w:tr>
      <w:tr w:rsidR="00060E59" w14:paraId="5D18EE65" w14:textId="77777777">
        <w:trPr>
          <w:cantSplit/>
          <w:jc w:val="center"/>
        </w:trPr>
        <w:tc>
          <w:tcPr>
            <w:tcW w:w="850" w:type="dxa"/>
            <w:tcBorders>
              <w:top w:val="nil"/>
              <w:left w:val="nil"/>
              <w:bottom w:val="nil"/>
              <w:right w:val="nil"/>
            </w:tcBorders>
            <w:shd w:val="clear" w:color="auto" w:fill="FFFFFF"/>
            <w:vAlign w:val="center"/>
          </w:tcPr>
          <w:p w14:paraId="29B488F5"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5</w:t>
            </w:r>
          </w:p>
        </w:tc>
        <w:tc>
          <w:tcPr>
            <w:tcW w:w="860" w:type="dxa"/>
            <w:tcBorders>
              <w:top w:val="nil"/>
              <w:left w:val="nil"/>
              <w:bottom w:val="nil"/>
              <w:right w:val="nil"/>
            </w:tcBorders>
            <w:shd w:val="clear" w:color="auto" w:fill="FFFFFF"/>
            <w:vAlign w:val="center"/>
          </w:tcPr>
          <w:p w14:paraId="0DF6DF5F"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52E3F41C"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0E18C3A5"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671652E0"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5E765595"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nil"/>
              <w:right w:val="nil"/>
            </w:tcBorders>
            <w:shd w:val="clear" w:color="auto" w:fill="FFFFFF"/>
            <w:vAlign w:val="center"/>
          </w:tcPr>
          <w:p w14:paraId="7CBE18C8"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23C9A0D3"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092B9559"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41</w:t>
            </w:r>
          </w:p>
        </w:tc>
        <w:tc>
          <w:tcPr>
            <w:tcW w:w="860" w:type="dxa"/>
            <w:tcBorders>
              <w:top w:val="nil"/>
              <w:left w:val="nil"/>
              <w:bottom w:val="nil"/>
              <w:right w:val="nil"/>
            </w:tcBorders>
            <w:shd w:val="clear" w:color="auto" w:fill="FFFFFF"/>
            <w:vAlign w:val="center"/>
          </w:tcPr>
          <w:p w14:paraId="680D30E0"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5.91</w:t>
            </w:r>
          </w:p>
        </w:tc>
      </w:tr>
      <w:tr w:rsidR="00060E59" w14:paraId="033FFE56" w14:textId="77777777">
        <w:trPr>
          <w:cantSplit/>
          <w:jc w:val="center"/>
        </w:trPr>
        <w:tc>
          <w:tcPr>
            <w:tcW w:w="850" w:type="dxa"/>
            <w:tcBorders>
              <w:top w:val="nil"/>
              <w:left w:val="nil"/>
              <w:bottom w:val="nil"/>
              <w:right w:val="nil"/>
            </w:tcBorders>
            <w:shd w:val="clear" w:color="auto" w:fill="FFFFFF"/>
            <w:vAlign w:val="center"/>
          </w:tcPr>
          <w:p w14:paraId="207E7D8C"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6</w:t>
            </w:r>
          </w:p>
        </w:tc>
        <w:tc>
          <w:tcPr>
            <w:tcW w:w="860" w:type="dxa"/>
            <w:tcBorders>
              <w:top w:val="nil"/>
              <w:left w:val="nil"/>
              <w:bottom w:val="nil"/>
              <w:right w:val="nil"/>
            </w:tcBorders>
            <w:shd w:val="clear" w:color="auto" w:fill="FFFFFF"/>
            <w:vAlign w:val="center"/>
          </w:tcPr>
          <w:p w14:paraId="2FA32A12"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2191AF96"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6D09C610"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2B0032F9"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41B0484F"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nil"/>
              <w:right w:val="nil"/>
            </w:tcBorders>
            <w:shd w:val="clear" w:color="auto" w:fill="FFFFFF"/>
            <w:vAlign w:val="center"/>
          </w:tcPr>
          <w:p w14:paraId="22D2CDFA"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nil"/>
              <w:right w:val="nil"/>
            </w:tcBorders>
            <w:shd w:val="clear" w:color="auto" w:fill="FFFFFF"/>
            <w:vAlign w:val="center"/>
          </w:tcPr>
          <w:p w14:paraId="0C34AA0B"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nil"/>
              <w:right w:val="nil"/>
            </w:tcBorders>
            <w:shd w:val="clear" w:color="auto" w:fill="FFFFFF"/>
            <w:vAlign w:val="center"/>
          </w:tcPr>
          <w:p w14:paraId="5B6C20A4"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6</w:t>
            </w:r>
          </w:p>
        </w:tc>
        <w:tc>
          <w:tcPr>
            <w:tcW w:w="860" w:type="dxa"/>
            <w:tcBorders>
              <w:top w:val="nil"/>
              <w:left w:val="nil"/>
              <w:bottom w:val="nil"/>
              <w:right w:val="nil"/>
            </w:tcBorders>
            <w:shd w:val="clear" w:color="auto" w:fill="FFFFFF"/>
            <w:vAlign w:val="center"/>
          </w:tcPr>
          <w:p w14:paraId="5E2D19B4"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0.86</w:t>
            </w:r>
          </w:p>
        </w:tc>
      </w:tr>
      <w:tr w:rsidR="00060E59" w14:paraId="6D301D7A" w14:textId="77777777">
        <w:trPr>
          <w:cantSplit/>
          <w:jc w:val="center"/>
        </w:trPr>
        <w:tc>
          <w:tcPr>
            <w:tcW w:w="850" w:type="dxa"/>
            <w:tcBorders>
              <w:top w:val="nil"/>
              <w:left w:val="nil"/>
              <w:bottom w:val="nil"/>
              <w:right w:val="nil"/>
            </w:tcBorders>
            <w:shd w:val="clear" w:color="auto" w:fill="FFFFFF"/>
            <w:vAlign w:val="center"/>
          </w:tcPr>
          <w:p w14:paraId="490CEAF4"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7</w:t>
            </w:r>
          </w:p>
        </w:tc>
        <w:tc>
          <w:tcPr>
            <w:tcW w:w="860" w:type="dxa"/>
            <w:tcBorders>
              <w:top w:val="nil"/>
              <w:left w:val="nil"/>
              <w:bottom w:val="nil"/>
              <w:right w:val="nil"/>
            </w:tcBorders>
            <w:shd w:val="clear" w:color="auto" w:fill="FFFFFF"/>
            <w:vAlign w:val="center"/>
          </w:tcPr>
          <w:p w14:paraId="0F9E77F3"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4D6C5F92"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519B4A04"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4D735D75"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nil"/>
              <w:right w:val="nil"/>
            </w:tcBorders>
            <w:shd w:val="clear" w:color="auto" w:fill="FFFFFF"/>
            <w:vAlign w:val="center"/>
          </w:tcPr>
          <w:p w14:paraId="5DD541D2"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nil"/>
              <w:right w:val="nil"/>
            </w:tcBorders>
            <w:shd w:val="clear" w:color="auto" w:fill="FFFFFF"/>
            <w:vAlign w:val="center"/>
          </w:tcPr>
          <w:p w14:paraId="594AF9D7"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nil"/>
              <w:right w:val="nil"/>
            </w:tcBorders>
            <w:shd w:val="clear" w:color="auto" w:fill="FFFFFF"/>
            <w:vAlign w:val="center"/>
          </w:tcPr>
          <w:p w14:paraId="2C5FA42B"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nil"/>
              <w:right w:val="nil"/>
            </w:tcBorders>
            <w:shd w:val="clear" w:color="auto" w:fill="FFFFFF"/>
            <w:vAlign w:val="center"/>
          </w:tcPr>
          <w:p w14:paraId="6C29D125"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1</w:t>
            </w:r>
          </w:p>
        </w:tc>
        <w:tc>
          <w:tcPr>
            <w:tcW w:w="860" w:type="dxa"/>
            <w:tcBorders>
              <w:top w:val="nil"/>
              <w:left w:val="nil"/>
              <w:bottom w:val="nil"/>
              <w:right w:val="nil"/>
            </w:tcBorders>
            <w:shd w:val="clear" w:color="auto" w:fill="FFFFFF"/>
            <w:vAlign w:val="center"/>
          </w:tcPr>
          <w:p w14:paraId="1B497C3E"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0.14</w:t>
            </w:r>
          </w:p>
        </w:tc>
      </w:tr>
      <w:tr w:rsidR="00060E59" w14:paraId="00145EC0" w14:textId="77777777">
        <w:trPr>
          <w:cantSplit/>
          <w:jc w:val="center"/>
        </w:trPr>
        <w:tc>
          <w:tcPr>
            <w:tcW w:w="850" w:type="dxa"/>
            <w:tcBorders>
              <w:top w:val="nil"/>
              <w:left w:val="nil"/>
              <w:bottom w:val="nil"/>
              <w:right w:val="nil"/>
            </w:tcBorders>
            <w:shd w:val="clear" w:color="auto" w:fill="FFFFFF"/>
            <w:vAlign w:val="center"/>
          </w:tcPr>
          <w:p w14:paraId="69E7D20B"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8</w:t>
            </w:r>
          </w:p>
        </w:tc>
        <w:tc>
          <w:tcPr>
            <w:tcW w:w="860" w:type="dxa"/>
            <w:tcBorders>
              <w:top w:val="nil"/>
              <w:left w:val="nil"/>
              <w:bottom w:val="nil"/>
              <w:right w:val="nil"/>
            </w:tcBorders>
            <w:shd w:val="clear" w:color="auto" w:fill="FFFFFF"/>
            <w:vAlign w:val="center"/>
          </w:tcPr>
          <w:p w14:paraId="7D71F298"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1774A210"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707A0891"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nil"/>
              <w:right w:val="nil"/>
            </w:tcBorders>
            <w:shd w:val="clear" w:color="auto" w:fill="FFFFFF"/>
            <w:vAlign w:val="center"/>
          </w:tcPr>
          <w:p w14:paraId="14A78AD4"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7A85AD12"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754D855F"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3A0274D7"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nil"/>
              <w:right w:val="nil"/>
            </w:tcBorders>
            <w:shd w:val="clear" w:color="auto" w:fill="FFFFFF"/>
            <w:vAlign w:val="center"/>
          </w:tcPr>
          <w:p w14:paraId="0B49222B"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5</w:t>
            </w:r>
          </w:p>
        </w:tc>
        <w:tc>
          <w:tcPr>
            <w:tcW w:w="860" w:type="dxa"/>
            <w:tcBorders>
              <w:top w:val="nil"/>
              <w:left w:val="nil"/>
              <w:bottom w:val="nil"/>
              <w:right w:val="nil"/>
            </w:tcBorders>
            <w:shd w:val="clear" w:color="auto" w:fill="FFFFFF"/>
            <w:vAlign w:val="center"/>
          </w:tcPr>
          <w:p w14:paraId="0FB078BB"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0.72</w:t>
            </w:r>
          </w:p>
        </w:tc>
      </w:tr>
      <w:tr w:rsidR="00060E59" w14:paraId="147B3C35" w14:textId="77777777">
        <w:trPr>
          <w:cantSplit/>
          <w:jc w:val="center"/>
        </w:trPr>
        <w:tc>
          <w:tcPr>
            <w:tcW w:w="850" w:type="dxa"/>
            <w:tcBorders>
              <w:top w:val="nil"/>
              <w:left w:val="nil"/>
              <w:right w:val="nil"/>
            </w:tcBorders>
            <w:shd w:val="clear" w:color="auto" w:fill="FFFFFF"/>
            <w:vAlign w:val="center"/>
          </w:tcPr>
          <w:p w14:paraId="2883A3CC"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9</w:t>
            </w:r>
          </w:p>
        </w:tc>
        <w:tc>
          <w:tcPr>
            <w:tcW w:w="860" w:type="dxa"/>
            <w:tcBorders>
              <w:top w:val="nil"/>
              <w:left w:val="nil"/>
              <w:right w:val="nil"/>
            </w:tcBorders>
            <w:shd w:val="clear" w:color="auto" w:fill="FFFFFF"/>
            <w:vAlign w:val="center"/>
          </w:tcPr>
          <w:p w14:paraId="5D2F9DDA"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right w:val="nil"/>
            </w:tcBorders>
            <w:shd w:val="clear" w:color="auto" w:fill="FFFFFF"/>
            <w:vAlign w:val="center"/>
          </w:tcPr>
          <w:p w14:paraId="06C7AC62"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right w:val="nil"/>
            </w:tcBorders>
            <w:shd w:val="clear" w:color="auto" w:fill="FFFFFF"/>
            <w:vAlign w:val="center"/>
          </w:tcPr>
          <w:p w14:paraId="352CEC91"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right w:val="nil"/>
            </w:tcBorders>
            <w:shd w:val="clear" w:color="auto" w:fill="FFFFFF"/>
            <w:vAlign w:val="center"/>
          </w:tcPr>
          <w:p w14:paraId="177C3CA9"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right w:val="nil"/>
            </w:tcBorders>
            <w:shd w:val="clear" w:color="auto" w:fill="FFFFFF"/>
            <w:vAlign w:val="center"/>
          </w:tcPr>
          <w:p w14:paraId="142FEBE6"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right w:val="nil"/>
            </w:tcBorders>
            <w:shd w:val="clear" w:color="auto" w:fill="FFFFFF"/>
            <w:vAlign w:val="center"/>
          </w:tcPr>
          <w:p w14:paraId="0D799B7E"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right w:val="nil"/>
            </w:tcBorders>
            <w:shd w:val="clear" w:color="auto" w:fill="FFFFFF"/>
            <w:vAlign w:val="center"/>
          </w:tcPr>
          <w:p w14:paraId="0D4EE873"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right w:val="nil"/>
            </w:tcBorders>
            <w:shd w:val="clear" w:color="auto" w:fill="FFFFFF"/>
            <w:vAlign w:val="center"/>
          </w:tcPr>
          <w:p w14:paraId="273835AE"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2</w:t>
            </w:r>
          </w:p>
        </w:tc>
        <w:tc>
          <w:tcPr>
            <w:tcW w:w="860" w:type="dxa"/>
            <w:tcBorders>
              <w:top w:val="nil"/>
              <w:left w:val="nil"/>
              <w:right w:val="nil"/>
            </w:tcBorders>
            <w:shd w:val="clear" w:color="auto" w:fill="FFFFFF"/>
            <w:vAlign w:val="center"/>
          </w:tcPr>
          <w:p w14:paraId="32702D01"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0.29</w:t>
            </w:r>
          </w:p>
        </w:tc>
      </w:tr>
      <w:tr w:rsidR="00060E59" w14:paraId="428FA615" w14:textId="77777777">
        <w:trPr>
          <w:cantSplit/>
          <w:jc w:val="center"/>
        </w:trPr>
        <w:tc>
          <w:tcPr>
            <w:tcW w:w="850" w:type="dxa"/>
            <w:tcBorders>
              <w:top w:val="nil"/>
              <w:left w:val="nil"/>
              <w:bottom w:val="single" w:sz="4" w:space="0" w:color="auto"/>
              <w:right w:val="nil"/>
            </w:tcBorders>
            <w:shd w:val="clear" w:color="auto" w:fill="FFFFFF"/>
            <w:vAlign w:val="center"/>
          </w:tcPr>
          <w:p w14:paraId="56C1839C"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10</w:t>
            </w:r>
          </w:p>
        </w:tc>
        <w:tc>
          <w:tcPr>
            <w:tcW w:w="860" w:type="dxa"/>
            <w:tcBorders>
              <w:top w:val="nil"/>
              <w:left w:val="nil"/>
              <w:bottom w:val="single" w:sz="4" w:space="0" w:color="auto"/>
              <w:right w:val="nil"/>
            </w:tcBorders>
            <w:shd w:val="clear" w:color="auto" w:fill="FFFFFF"/>
            <w:vAlign w:val="center"/>
          </w:tcPr>
          <w:p w14:paraId="58E2E704"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single" w:sz="4" w:space="0" w:color="auto"/>
              <w:right w:val="nil"/>
            </w:tcBorders>
            <w:shd w:val="clear" w:color="auto" w:fill="FFFFFF"/>
            <w:vAlign w:val="center"/>
          </w:tcPr>
          <w:p w14:paraId="13C55B26"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single" w:sz="4" w:space="0" w:color="auto"/>
              <w:right w:val="nil"/>
            </w:tcBorders>
            <w:shd w:val="clear" w:color="auto" w:fill="FFFFFF"/>
            <w:vAlign w:val="center"/>
          </w:tcPr>
          <w:p w14:paraId="15467A5A"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single" w:sz="4" w:space="0" w:color="auto"/>
              <w:right w:val="nil"/>
            </w:tcBorders>
            <w:shd w:val="clear" w:color="auto" w:fill="FFFFFF"/>
            <w:vAlign w:val="center"/>
          </w:tcPr>
          <w:p w14:paraId="4BD0955A"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w:t>
            </w:r>
          </w:p>
        </w:tc>
        <w:tc>
          <w:tcPr>
            <w:tcW w:w="860" w:type="dxa"/>
            <w:tcBorders>
              <w:top w:val="nil"/>
              <w:left w:val="nil"/>
              <w:bottom w:val="single" w:sz="4" w:space="0" w:color="auto"/>
              <w:right w:val="nil"/>
            </w:tcBorders>
            <w:shd w:val="clear" w:color="auto" w:fill="FFFFFF"/>
            <w:vAlign w:val="center"/>
          </w:tcPr>
          <w:p w14:paraId="1BFE828D"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single" w:sz="4" w:space="0" w:color="auto"/>
              <w:right w:val="nil"/>
            </w:tcBorders>
            <w:shd w:val="clear" w:color="auto" w:fill="FFFFFF"/>
            <w:vAlign w:val="center"/>
          </w:tcPr>
          <w:p w14:paraId="0DE3216F"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single" w:sz="4" w:space="0" w:color="auto"/>
              <w:right w:val="nil"/>
            </w:tcBorders>
            <w:shd w:val="clear" w:color="auto" w:fill="FFFFFF"/>
            <w:vAlign w:val="center"/>
          </w:tcPr>
          <w:p w14:paraId="5D865A5E"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X</w:t>
            </w:r>
          </w:p>
        </w:tc>
        <w:tc>
          <w:tcPr>
            <w:tcW w:w="860" w:type="dxa"/>
            <w:tcBorders>
              <w:top w:val="nil"/>
              <w:left w:val="nil"/>
              <w:bottom w:val="single" w:sz="4" w:space="0" w:color="auto"/>
              <w:right w:val="nil"/>
            </w:tcBorders>
            <w:shd w:val="clear" w:color="auto" w:fill="FFFFFF"/>
            <w:vAlign w:val="center"/>
          </w:tcPr>
          <w:p w14:paraId="0645A716"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1</w:t>
            </w:r>
          </w:p>
        </w:tc>
        <w:tc>
          <w:tcPr>
            <w:tcW w:w="860" w:type="dxa"/>
            <w:tcBorders>
              <w:top w:val="nil"/>
              <w:left w:val="nil"/>
              <w:bottom w:val="single" w:sz="4" w:space="0" w:color="auto"/>
              <w:right w:val="nil"/>
            </w:tcBorders>
            <w:shd w:val="clear" w:color="auto" w:fill="FFFFFF"/>
            <w:vAlign w:val="center"/>
          </w:tcPr>
          <w:p w14:paraId="3927AFCA" w14:textId="77777777" w:rsidR="00060E59" w:rsidRDefault="00682037">
            <w:pPr>
              <w:autoSpaceDE w:val="0"/>
              <w:autoSpaceDN w:val="0"/>
              <w:adjustRightInd w:val="0"/>
              <w:ind w:firstLineChars="200" w:firstLine="400"/>
              <w:rPr>
                <w:rFonts w:ascii="Times New Roman" w:hAnsi="Times New Roman"/>
                <w:sz w:val="20"/>
                <w:szCs w:val="20"/>
              </w:rPr>
            </w:pPr>
            <w:r>
              <w:rPr>
                <w:rFonts w:ascii="Times New Roman" w:hAnsi="Times New Roman"/>
                <w:sz w:val="20"/>
                <w:szCs w:val="20"/>
              </w:rPr>
              <w:t>0.14</w:t>
            </w:r>
          </w:p>
        </w:tc>
      </w:tr>
    </w:tbl>
    <w:p w14:paraId="7C338E56" w14:textId="77777777" w:rsidR="00060E59" w:rsidRDefault="00060E59">
      <w:pPr>
        <w:autoSpaceDE w:val="0"/>
        <w:autoSpaceDN w:val="0"/>
        <w:adjustRightInd w:val="0"/>
        <w:rPr>
          <w:rFonts w:ascii="Times New Roman" w:hAnsi="Times New Roman"/>
          <w:sz w:val="20"/>
          <w:szCs w:val="20"/>
        </w:rPr>
      </w:pPr>
    </w:p>
    <w:p w14:paraId="60E87DDD" w14:textId="77777777" w:rsidR="00060E59" w:rsidRDefault="00682037" w:rsidP="00682037">
      <w:pPr>
        <w:autoSpaceDE w:val="0"/>
        <w:autoSpaceDN w:val="0"/>
        <w:adjustRightInd w:val="0"/>
        <w:rPr>
          <w:rFonts w:ascii="Times New Roman" w:hAnsi="Times New Roman"/>
          <w:sz w:val="20"/>
          <w:szCs w:val="20"/>
        </w:rPr>
      </w:pPr>
      <w:r>
        <w:rPr>
          <w:rFonts w:ascii="Times New Roman" w:hAnsi="Times New Roman"/>
          <w:sz w:val="20"/>
          <w:szCs w:val="20"/>
        </w:rPr>
        <w:t xml:space="preserve">Notes: A tick in the cell represents that the corresponding variable is not missing while a cross represents the </w:t>
      </w:r>
      <w:r>
        <w:rPr>
          <w:rFonts w:ascii="Times New Roman" w:hAnsi="Times New Roman"/>
          <w:sz w:val="20"/>
          <w:szCs w:val="20"/>
        </w:rPr>
        <w:t>otherwise. "Aspirin" and "Statins" refer to usage of the medications. Abbreviation: LDL-C: low-density lipoprotein cholesterol, No.: number.</w:t>
      </w:r>
    </w:p>
    <w:p w14:paraId="5EDB30DB" w14:textId="77777777" w:rsidR="00060E59" w:rsidRDefault="00060E59">
      <w:pPr>
        <w:autoSpaceDE w:val="0"/>
        <w:autoSpaceDN w:val="0"/>
        <w:adjustRightInd w:val="0"/>
        <w:ind w:firstLineChars="200" w:firstLine="400"/>
        <w:rPr>
          <w:rFonts w:ascii="Times New Roman" w:hAnsi="Times New Roman"/>
          <w:sz w:val="20"/>
          <w:szCs w:val="20"/>
        </w:rPr>
      </w:pPr>
    </w:p>
    <w:p w14:paraId="6E72E4E2" w14:textId="295F9E23" w:rsidR="00060E59" w:rsidRDefault="00682037">
      <w:pPr>
        <w:autoSpaceDE w:val="0"/>
        <w:autoSpaceDN w:val="0"/>
        <w:adjustRightInd w:val="0"/>
        <w:ind w:firstLineChars="200" w:firstLine="400"/>
        <w:jc w:val="center"/>
        <w:rPr>
          <w:rFonts w:ascii="Times New Roman" w:hAnsi="Times New Roman"/>
          <w:b/>
          <w:sz w:val="20"/>
          <w:szCs w:val="20"/>
        </w:rPr>
      </w:pPr>
      <w:r>
        <w:rPr>
          <w:rFonts w:ascii="Times New Roman" w:hAnsi="Times New Roman"/>
          <w:b/>
          <w:sz w:val="20"/>
          <w:szCs w:val="20"/>
        </w:rPr>
        <w:t>Table S</w:t>
      </w:r>
      <w:r>
        <w:rPr>
          <w:rFonts w:ascii="Times New Roman" w:hAnsi="Times New Roman" w:hint="eastAsia"/>
          <w:b/>
          <w:sz w:val="20"/>
          <w:szCs w:val="20"/>
        </w:rPr>
        <w:t>3</w:t>
      </w:r>
      <w:r>
        <w:rPr>
          <w:rFonts w:ascii="Times New Roman" w:hAnsi="Times New Roman"/>
          <w:b/>
          <w:sz w:val="20"/>
          <w:szCs w:val="20"/>
        </w:rPr>
        <w:t xml:space="preserve"> Number and proportions of missing data as well as missingness patterns in the modeling process of Model 3</w:t>
      </w:r>
    </w:p>
    <w:tbl>
      <w:tblPr>
        <w:tblW w:w="0" w:type="auto"/>
        <w:jc w:val="center"/>
        <w:tblLayout w:type="fixed"/>
        <w:tblCellMar>
          <w:left w:w="0" w:type="dxa"/>
          <w:right w:w="0" w:type="dxa"/>
        </w:tblCellMar>
        <w:tblLook w:val="04A0" w:firstRow="1" w:lastRow="0" w:firstColumn="1" w:lastColumn="0" w:noHBand="0" w:noVBand="1"/>
      </w:tblPr>
      <w:tblGrid>
        <w:gridCol w:w="850"/>
        <w:gridCol w:w="860"/>
        <w:gridCol w:w="860"/>
        <w:gridCol w:w="860"/>
        <w:gridCol w:w="860"/>
        <w:gridCol w:w="860"/>
        <w:gridCol w:w="860"/>
        <w:gridCol w:w="860"/>
        <w:gridCol w:w="860"/>
        <w:gridCol w:w="860"/>
        <w:gridCol w:w="860"/>
      </w:tblGrid>
      <w:tr w:rsidR="00060E59" w14:paraId="5A03D22A" w14:textId="77777777">
        <w:trPr>
          <w:cantSplit/>
          <w:tblHeader/>
          <w:jc w:val="center"/>
        </w:trPr>
        <w:tc>
          <w:tcPr>
            <w:tcW w:w="850" w:type="dxa"/>
            <w:tcBorders>
              <w:top w:val="single" w:sz="4" w:space="0" w:color="000000"/>
              <w:left w:val="nil"/>
              <w:bottom w:val="single" w:sz="4" w:space="0" w:color="000000"/>
              <w:right w:val="nil"/>
            </w:tcBorders>
            <w:shd w:val="clear" w:color="auto" w:fill="FFFFFF"/>
            <w:vAlign w:val="center"/>
          </w:tcPr>
          <w:p w14:paraId="649F588E"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Pattern No.</w:t>
            </w:r>
          </w:p>
        </w:tc>
        <w:tc>
          <w:tcPr>
            <w:tcW w:w="860" w:type="dxa"/>
            <w:tcBorders>
              <w:top w:val="single" w:sz="4" w:space="0" w:color="000000"/>
              <w:left w:val="nil"/>
              <w:bottom w:val="single" w:sz="4" w:space="0" w:color="000000"/>
              <w:right w:val="nil"/>
            </w:tcBorders>
            <w:shd w:val="clear" w:color="auto" w:fill="FFFFFF"/>
            <w:vAlign w:val="center"/>
          </w:tcPr>
          <w:p w14:paraId="50153AF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Gender</w:t>
            </w:r>
          </w:p>
        </w:tc>
        <w:tc>
          <w:tcPr>
            <w:tcW w:w="860" w:type="dxa"/>
            <w:tcBorders>
              <w:top w:val="single" w:sz="4" w:space="0" w:color="000000"/>
              <w:left w:val="nil"/>
              <w:bottom w:val="single" w:sz="4" w:space="0" w:color="000000"/>
              <w:right w:val="nil"/>
            </w:tcBorders>
            <w:shd w:val="clear" w:color="auto" w:fill="FFFFFF"/>
            <w:vAlign w:val="center"/>
          </w:tcPr>
          <w:p w14:paraId="5985025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Age</w:t>
            </w:r>
            <w:r>
              <w:rPr>
                <w:rFonts w:ascii="Times New Roman" w:hAnsi="Times New Roman" w:cs="Times New Roman" w:hint="eastAsia"/>
                <w:color w:val="000000"/>
              </w:rPr>
              <w:br/>
              <w:t>(years)</w:t>
            </w:r>
          </w:p>
        </w:tc>
        <w:tc>
          <w:tcPr>
            <w:tcW w:w="860" w:type="dxa"/>
            <w:tcBorders>
              <w:top w:val="single" w:sz="4" w:space="0" w:color="000000"/>
              <w:left w:val="nil"/>
              <w:bottom w:val="single" w:sz="4" w:space="0" w:color="000000"/>
              <w:right w:val="nil"/>
            </w:tcBorders>
            <w:shd w:val="clear" w:color="auto" w:fill="FFFFFF"/>
            <w:vAlign w:val="center"/>
          </w:tcPr>
          <w:p w14:paraId="5EB74B7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LDL-C</w:t>
            </w:r>
          </w:p>
        </w:tc>
        <w:tc>
          <w:tcPr>
            <w:tcW w:w="860" w:type="dxa"/>
            <w:tcBorders>
              <w:top w:val="single" w:sz="4" w:space="0" w:color="000000"/>
              <w:left w:val="nil"/>
              <w:bottom w:val="single" w:sz="4" w:space="0" w:color="000000"/>
              <w:right w:val="nil"/>
            </w:tcBorders>
            <w:shd w:val="clear" w:color="auto" w:fill="FFFFFF"/>
            <w:vAlign w:val="center"/>
          </w:tcPr>
          <w:p w14:paraId="38D73D92"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Diabetes</w:t>
            </w:r>
          </w:p>
        </w:tc>
        <w:tc>
          <w:tcPr>
            <w:tcW w:w="860" w:type="dxa"/>
            <w:tcBorders>
              <w:top w:val="single" w:sz="4" w:space="0" w:color="000000"/>
              <w:left w:val="nil"/>
              <w:bottom w:val="single" w:sz="4" w:space="0" w:color="000000"/>
              <w:right w:val="nil"/>
            </w:tcBorders>
            <w:shd w:val="clear" w:color="auto" w:fill="FFFFFF"/>
            <w:vAlign w:val="center"/>
          </w:tcPr>
          <w:p w14:paraId="3461D0F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Current Smoking</w:t>
            </w:r>
          </w:p>
        </w:tc>
        <w:tc>
          <w:tcPr>
            <w:tcW w:w="860" w:type="dxa"/>
            <w:tcBorders>
              <w:top w:val="single" w:sz="4" w:space="0" w:color="000000"/>
              <w:left w:val="nil"/>
              <w:bottom w:val="single" w:sz="4" w:space="0" w:color="000000"/>
              <w:right w:val="nil"/>
            </w:tcBorders>
            <w:shd w:val="clear" w:color="auto" w:fill="FFFFFF"/>
            <w:vAlign w:val="center"/>
          </w:tcPr>
          <w:p w14:paraId="279BA101"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Aspirin</w:t>
            </w:r>
          </w:p>
        </w:tc>
        <w:tc>
          <w:tcPr>
            <w:tcW w:w="860" w:type="dxa"/>
            <w:tcBorders>
              <w:top w:val="single" w:sz="4" w:space="0" w:color="000000"/>
              <w:left w:val="nil"/>
              <w:bottom w:val="single" w:sz="4" w:space="0" w:color="000000"/>
              <w:right w:val="nil"/>
            </w:tcBorders>
            <w:shd w:val="clear" w:color="auto" w:fill="FFFFFF"/>
            <w:vAlign w:val="center"/>
          </w:tcPr>
          <w:p w14:paraId="187C591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Statins</w:t>
            </w:r>
          </w:p>
        </w:tc>
        <w:tc>
          <w:tcPr>
            <w:tcW w:w="860" w:type="dxa"/>
            <w:tcBorders>
              <w:top w:val="single" w:sz="4" w:space="0" w:color="000000"/>
              <w:left w:val="nil"/>
              <w:bottom w:val="single" w:sz="4" w:space="0" w:color="000000"/>
              <w:right w:val="nil"/>
            </w:tcBorders>
            <w:shd w:val="clear" w:color="auto" w:fill="FFFFFF"/>
            <w:vAlign w:val="center"/>
          </w:tcPr>
          <w:p w14:paraId="757283E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eGFR</w:t>
            </w:r>
          </w:p>
        </w:tc>
        <w:tc>
          <w:tcPr>
            <w:tcW w:w="860" w:type="dxa"/>
            <w:tcBorders>
              <w:top w:val="single" w:sz="4" w:space="0" w:color="000000"/>
              <w:left w:val="nil"/>
              <w:bottom w:val="single" w:sz="4" w:space="0" w:color="000000"/>
              <w:right w:val="nil"/>
            </w:tcBorders>
            <w:shd w:val="clear" w:color="auto" w:fill="FFFFFF"/>
            <w:vAlign w:val="center"/>
          </w:tcPr>
          <w:p w14:paraId="453ADF6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No. of subjects with this missing pattern</w:t>
            </w:r>
          </w:p>
        </w:tc>
        <w:tc>
          <w:tcPr>
            <w:tcW w:w="860" w:type="dxa"/>
            <w:tcBorders>
              <w:top w:val="single" w:sz="4" w:space="0" w:color="000000"/>
              <w:left w:val="nil"/>
              <w:bottom w:val="single" w:sz="4" w:space="0" w:color="000000"/>
              <w:right w:val="nil"/>
            </w:tcBorders>
            <w:shd w:val="clear" w:color="auto" w:fill="FFFFFF"/>
            <w:vAlign w:val="center"/>
          </w:tcPr>
          <w:p w14:paraId="7E994BF4"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 xml:space="preserve">Proportion of subjects </w:t>
            </w:r>
            <w:r>
              <w:rPr>
                <w:rFonts w:ascii="Times New Roman" w:hAnsi="Times New Roman" w:cs="Times New Roman" w:hint="eastAsia"/>
                <w:color w:val="000000"/>
              </w:rPr>
              <w:t>with this missing pattern</w:t>
            </w:r>
          </w:p>
        </w:tc>
      </w:tr>
      <w:tr w:rsidR="00060E59" w14:paraId="30F2929B" w14:textId="77777777">
        <w:trPr>
          <w:cantSplit/>
          <w:jc w:val="center"/>
        </w:trPr>
        <w:tc>
          <w:tcPr>
            <w:tcW w:w="850" w:type="dxa"/>
            <w:tcBorders>
              <w:top w:val="nil"/>
              <w:left w:val="nil"/>
              <w:bottom w:val="nil"/>
              <w:right w:val="nil"/>
            </w:tcBorders>
            <w:shd w:val="clear" w:color="auto" w:fill="FFFFFF"/>
            <w:vAlign w:val="center"/>
          </w:tcPr>
          <w:p w14:paraId="5FA27F48" w14:textId="77777777" w:rsidR="00060E59" w:rsidRDefault="00682037">
            <w:pPr>
              <w:adjustRightInd w:val="0"/>
              <w:rPr>
                <w:rFonts w:ascii="Times New Roman" w:hAnsi="Times New Roman" w:cs="Times New Roman"/>
                <w:color w:val="000000"/>
              </w:rPr>
            </w:pPr>
            <w:bookmarkStart w:id="3" w:name="OLE_LINK2"/>
            <w:r>
              <w:rPr>
                <w:rFonts w:ascii="Times New Roman" w:hAnsi="Times New Roman" w:cs="Times New Roman" w:hint="eastAsia"/>
                <w:color w:val="000000"/>
              </w:rPr>
              <w:t>1</w:t>
            </w:r>
          </w:p>
        </w:tc>
        <w:tc>
          <w:tcPr>
            <w:tcW w:w="860" w:type="dxa"/>
            <w:tcBorders>
              <w:top w:val="nil"/>
              <w:left w:val="nil"/>
              <w:bottom w:val="nil"/>
              <w:right w:val="nil"/>
            </w:tcBorders>
            <w:shd w:val="clear" w:color="auto" w:fill="FFFFFF"/>
            <w:vAlign w:val="center"/>
          </w:tcPr>
          <w:p w14:paraId="77F9C7D1"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447394E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1239AF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DFCA8A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10E008D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7DBFA35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BE9A01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0CAF4C6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C13C2A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624</w:t>
            </w:r>
          </w:p>
        </w:tc>
        <w:tc>
          <w:tcPr>
            <w:tcW w:w="860" w:type="dxa"/>
            <w:tcBorders>
              <w:top w:val="nil"/>
              <w:left w:val="nil"/>
              <w:bottom w:val="nil"/>
              <w:right w:val="nil"/>
            </w:tcBorders>
            <w:shd w:val="clear" w:color="auto" w:fill="FFFFFF"/>
            <w:vAlign w:val="center"/>
          </w:tcPr>
          <w:p w14:paraId="5D20087D"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89.91</w:t>
            </w:r>
          </w:p>
        </w:tc>
      </w:tr>
      <w:tr w:rsidR="00060E59" w14:paraId="487B3481" w14:textId="77777777">
        <w:trPr>
          <w:cantSplit/>
          <w:jc w:val="center"/>
        </w:trPr>
        <w:tc>
          <w:tcPr>
            <w:tcW w:w="850" w:type="dxa"/>
            <w:tcBorders>
              <w:top w:val="nil"/>
              <w:left w:val="nil"/>
              <w:bottom w:val="nil"/>
              <w:right w:val="nil"/>
            </w:tcBorders>
            <w:shd w:val="clear" w:color="auto" w:fill="FFFFFF"/>
            <w:vAlign w:val="center"/>
          </w:tcPr>
          <w:p w14:paraId="64EF0D10"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2</w:t>
            </w:r>
          </w:p>
        </w:tc>
        <w:tc>
          <w:tcPr>
            <w:tcW w:w="860" w:type="dxa"/>
            <w:tcBorders>
              <w:top w:val="nil"/>
              <w:left w:val="nil"/>
              <w:bottom w:val="nil"/>
              <w:right w:val="nil"/>
            </w:tcBorders>
            <w:shd w:val="clear" w:color="auto" w:fill="FFFFFF"/>
            <w:vAlign w:val="center"/>
          </w:tcPr>
          <w:p w14:paraId="41D506F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478F7A4"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4FC1141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D2D659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119F2F8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2EEB6B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AE55E0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0C56206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5F2680D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1</w:t>
            </w:r>
          </w:p>
        </w:tc>
        <w:tc>
          <w:tcPr>
            <w:tcW w:w="860" w:type="dxa"/>
            <w:tcBorders>
              <w:top w:val="nil"/>
              <w:left w:val="nil"/>
              <w:bottom w:val="nil"/>
              <w:right w:val="nil"/>
            </w:tcBorders>
            <w:shd w:val="clear" w:color="auto" w:fill="FFFFFF"/>
            <w:vAlign w:val="center"/>
          </w:tcPr>
          <w:p w14:paraId="6329750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0.14</w:t>
            </w:r>
          </w:p>
        </w:tc>
      </w:tr>
      <w:tr w:rsidR="00060E59" w14:paraId="02EB54FA" w14:textId="77777777">
        <w:trPr>
          <w:cantSplit/>
          <w:jc w:val="center"/>
        </w:trPr>
        <w:tc>
          <w:tcPr>
            <w:tcW w:w="850" w:type="dxa"/>
            <w:tcBorders>
              <w:top w:val="nil"/>
              <w:left w:val="nil"/>
              <w:bottom w:val="nil"/>
              <w:right w:val="nil"/>
            </w:tcBorders>
            <w:shd w:val="clear" w:color="auto" w:fill="FFFFFF"/>
            <w:vAlign w:val="center"/>
          </w:tcPr>
          <w:p w14:paraId="399A2416"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3</w:t>
            </w:r>
          </w:p>
        </w:tc>
        <w:tc>
          <w:tcPr>
            <w:tcW w:w="860" w:type="dxa"/>
            <w:tcBorders>
              <w:top w:val="nil"/>
              <w:left w:val="nil"/>
              <w:bottom w:val="nil"/>
              <w:right w:val="nil"/>
            </w:tcBorders>
            <w:shd w:val="clear" w:color="auto" w:fill="FFFFFF"/>
            <w:vAlign w:val="center"/>
          </w:tcPr>
          <w:p w14:paraId="6967370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7B816D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C50E82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6E72D42"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5DC017F0"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D633FA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538DF85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087CA8BA"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161A4DD"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1</w:t>
            </w:r>
          </w:p>
        </w:tc>
        <w:tc>
          <w:tcPr>
            <w:tcW w:w="860" w:type="dxa"/>
            <w:tcBorders>
              <w:top w:val="nil"/>
              <w:left w:val="nil"/>
              <w:bottom w:val="nil"/>
              <w:right w:val="nil"/>
            </w:tcBorders>
            <w:shd w:val="clear" w:color="auto" w:fill="FFFFFF"/>
            <w:vAlign w:val="center"/>
          </w:tcPr>
          <w:p w14:paraId="09FE7C1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0.14</w:t>
            </w:r>
          </w:p>
        </w:tc>
      </w:tr>
      <w:tr w:rsidR="00060E59" w14:paraId="38502E6D" w14:textId="77777777">
        <w:trPr>
          <w:cantSplit/>
          <w:jc w:val="center"/>
        </w:trPr>
        <w:tc>
          <w:tcPr>
            <w:tcW w:w="850" w:type="dxa"/>
            <w:tcBorders>
              <w:top w:val="nil"/>
              <w:left w:val="nil"/>
              <w:bottom w:val="nil"/>
              <w:right w:val="nil"/>
            </w:tcBorders>
            <w:shd w:val="clear" w:color="auto" w:fill="FFFFFF"/>
            <w:vAlign w:val="center"/>
          </w:tcPr>
          <w:p w14:paraId="1927AD66"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4</w:t>
            </w:r>
          </w:p>
        </w:tc>
        <w:tc>
          <w:tcPr>
            <w:tcW w:w="860" w:type="dxa"/>
            <w:tcBorders>
              <w:top w:val="nil"/>
              <w:left w:val="nil"/>
              <w:bottom w:val="nil"/>
              <w:right w:val="nil"/>
            </w:tcBorders>
            <w:shd w:val="clear" w:color="auto" w:fill="FFFFFF"/>
            <w:vAlign w:val="center"/>
          </w:tcPr>
          <w:p w14:paraId="2233ECD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D11A2D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8A1B8F2"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1F4112C1"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1E792CBD"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9B6121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48E10ED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7D032C10"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7DBE597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12</w:t>
            </w:r>
          </w:p>
        </w:tc>
        <w:tc>
          <w:tcPr>
            <w:tcW w:w="860" w:type="dxa"/>
            <w:tcBorders>
              <w:top w:val="nil"/>
              <w:left w:val="nil"/>
              <w:bottom w:val="nil"/>
              <w:right w:val="nil"/>
            </w:tcBorders>
            <w:shd w:val="clear" w:color="auto" w:fill="FFFFFF"/>
            <w:vAlign w:val="center"/>
          </w:tcPr>
          <w:p w14:paraId="0A7B53F2"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1.73</w:t>
            </w:r>
          </w:p>
        </w:tc>
      </w:tr>
      <w:bookmarkEnd w:id="3"/>
      <w:tr w:rsidR="00060E59" w14:paraId="57496436" w14:textId="77777777">
        <w:trPr>
          <w:cantSplit/>
          <w:jc w:val="center"/>
        </w:trPr>
        <w:tc>
          <w:tcPr>
            <w:tcW w:w="850" w:type="dxa"/>
            <w:tcBorders>
              <w:top w:val="nil"/>
              <w:left w:val="nil"/>
              <w:bottom w:val="nil"/>
              <w:right w:val="nil"/>
            </w:tcBorders>
            <w:shd w:val="clear" w:color="auto" w:fill="FFFFFF"/>
            <w:vAlign w:val="center"/>
          </w:tcPr>
          <w:p w14:paraId="7711D852"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5</w:t>
            </w:r>
          </w:p>
        </w:tc>
        <w:tc>
          <w:tcPr>
            <w:tcW w:w="860" w:type="dxa"/>
            <w:tcBorders>
              <w:top w:val="nil"/>
              <w:left w:val="nil"/>
              <w:bottom w:val="nil"/>
              <w:right w:val="nil"/>
            </w:tcBorders>
            <w:shd w:val="clear" w:color="auto" w:fill="FFFFFF"/>
            <w:vAlign w:val="center"/>
          </w:tcPr>
          <w:p w14:paraId="02A4C1F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05B2FF0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EEE432D"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5593F672"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8624D8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5E4607C4"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FA4D97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237C6A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0CDE53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41</w:t>
            </w:r>
          </w:p>
        </w:tc>
        <w:tc>
          <w:tcPr>
            <w:tcW w:w="860" w:type="dxa"/>
            <w:tcBorders>
              <w:top w:val="nil"/>
              <w:left w:val="nil"/>
              <w:bottom w:val="nil"/>
              <w:right w:val="nil"/>
            </w:tcBorders>
            <w:shd w:val="clear" w:color="auto" w:fill="FFFFFF"/>
            <w:vAlign w:val="center"/>
          </w:tcPr>
          <w:p w14:paraId="15E041C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5.91</w:t>
            </w:r>
          </w:p>
        </w:tc>
      </w:tr>
      <w:tr w:rsidR="00060E59" w14:paraId="2EE22BFF" w14:textId="77777777">
        <w:trPr>
          <w:cantSplit/>
          <w:jc w:val="center"/>
        </w:trPr>
        <w:tc>
          <w:tcPr>
            <w:tcW w:w="850" w:type="dxa"/>
            <w:tcBorders>
              <w:top w:val="nil"/>
              <w:left w:val="nil"/>
              <w:bottom w:val="nil"/>
              <w:right w:val="nil"/>
            </w:tcBorders>
            <w:shd w:val="clear" w:color="auto" w:fill="FFFFFF"/>
            <w:vAlign w:val="center"/>
          </w:tcPr>
          <w:p w14:paraId="3596466E" w14:textId="77777777" w:rsidR="00060E59" w:rsidRDefault="00682037">
            <w:pPr>
              <w:adjustRightInd w:val="0"/>
              <w:rPr>
                <w:rFonts w:ascii="Times New Roman" w:hAnsi="Times New Roman" w:cs="Times New Roman"/>
                <w:color w:val="000000"/>
              </w:rPr>
            </w:pPr>
            <w:bookmarkStart w:id="4" w:name="OLE_LINK3"/>
            <w:r>
              <w:rPr>
                <w:rFonts w:ascii="Times New Roman" w:hAnsi="Times New Roman" w:cs="Times New Roman" w:hint="eastAsia"/>
                <w:color w:val="000000"/>
              </w:rPr>
              <w:t>6</w:t>
            </w:r>
          </w:p>
        </w:tc>
        <w:tc>
          <w:tcPr>
            <w:tcW w:w="860" w:type="dxa"/>
            <w:tcBorders>
              <w:top w:val="nil"/>
              <w:left w:val="nil"/>
              <w:bottom w:val="nil"/>
              <w:right w:val="nil"/>
            </w:tcBorders>
            <w:shd w:val="clear" w:color="auto" w:fill="FFFFFF"/>
            <w:vAlign w:val="center"/>
          </w:tcPr>
          <w:p w14:paraId="6118C97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0EF6D752"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EAF118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0D40060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C33941A"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11C5A2A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65FEC32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7991961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138ECC4"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6</w:t>
            </w:r>
          </w:p>
        </w:tc>
        <w:tc>
          <w:tcPr>
            <w:tcW w:w="860" w:type="dxa"/>
            <w:tcBorders>
              <w:top w:val="nil"/>
              <w:left w:val="nil"/>
              <w:bottom w:val="nil"/>
              <w:right w:val="nil"/>
            </w:tcBorders>
            <w:shd w:val="clear" w:color="auto" w:fill="FFFFFF"/>
            <w:vAlign w:val="center"/>
          </w:tcPr>
          <w:p w14:paraId="5FDFFC62"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0.86</w:t>
            </w:r>
          </w:p>
        </w:tc>
      </w:tr>
      <w:tr w:rsidR="00060E59" w14:paraId="1868D838" w14:textId="77777777">
        <w:trPr>
          <w:cantSplit/>
          <w:jc w:val="center"/>
        </w:trPr>
        <w:tc>
          <w:tcPr>
            <w:tcW w:w="850" w:type="dxa"/>
            <w:tcBorders>
              <w:top w:val="nil"/>
              <w:left w:val="nil"/>
              <w:bottom w:val="nil"/>
              <w:right w:val="nil"/>
            </w:tcBorders>
            <w:shd w:val="clear" w:color="auto" w:fill="FFFFFF"/>
            <w:vAlign w:val="center"/>
          </w:tcPr>
          <w:p w14:paraId="35BE9ACC"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7</w:t>
            </w:r>
          </w:p>
        </w:tc>
        <w:tc>
          <w:tcPr>
            <w:tcW w:w="860" w:type="dxa"/>
            <w:tcBorders>
              <w:top w:val="nil"/>
              <w:left w:val="nil"/>
              <w:bottom w:val="nil"/>
              <w:right w:val="nil"/>
            </w:tcBorders>
            <w:shd w:val="clear" w:color="auto" w:fill="FFFFFF"/>
            <w:vAlign w:val="center"/>
          </w:tcPr>
          <w:p w14:paraId="6C4550A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A353BD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745811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0765554"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46B448AA"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0D5470B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7B75A101"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6AAE92DB"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4644C030"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1</w:t>
            </w:r>
          </w:p>
        </w:tc>
        <w:tc>
          <w:tcPr>
            <w:tcW w:w="860" w:type="dxa"/>
            <w:tcBorders>
              <w:top w:val="nil"/>
              <w:left w:val="nil"/>
              <w:bottom w:val="nil"/>
              <w:right w:val="nil"/>
            </w:tcBorders>
            <w:shd w:val="clear" w:color="auto" w:fill="FFFFFF"/>
            <w:vAlign w:val="center"/>
          </w:tcPr>
          <w:p w14:paraId="568DC91A"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0.14</w:t>
            </w:r>
          </w:p>
        </w:tc>
      </w:tr>
      <w:tr w:rsidR="00060E59" w14:paraId="2C1FE4B2" w14:textId="77777777">
        <w:trPr>
          <w:cantSplit/>
          <w:jc w:val="center"/>
        </w:trPr>
        <w:tc>
          <w:tcPr>
            <w:tcW w:w="850" w:type="dxa"/>
            <w:tcBorders>
              <w:top w:val="nil"/>
              <w:left w:val="nil"/>
              <w:bottom w:val="nil"/>
              <w:right w:val="nil"/>
            </w:tcBorders>
            <w:shd w:val="clear" w:color="auto" w:fill="FFFFFF"/>
            <w:vAlign w:val="center"/>
          </w:tcPr>
          <w:p w14:paraId="093B93CB"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8</w:t>
            </w:r>
          </w:p>
        </w:tc>
        <w:tc>
          <w:tcPr>
            <w:tcW w:w="860" w:type="dxa"/>
            <w:tcBorders>
              <w:top w:val="nil"/>
              <w:left w:val="nil"/>
              <w:bottom w:val="nil"/>
              <w:right w:val="nil"/>
            </w:tcBorders>
            <w:shd w:val="clear" w:color="auto" w:fill="FFFFFF"/>
            <w:vAlign w:val="center"/>
          </w:tcPr>
          <w:p w14:paraId="4DA1961B"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4B086EF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1D95B57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135ECDB4"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7062C7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02E47BF2"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1273948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7716FAC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479FAA6A"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2</w:t>
            </w:r>
          </w:p>
        </w:tc>
        <w:tc>
          <w:tcPr>
            <w:tcW w:w="860" w:type="dxa"/>
            <w:tcBorders>
              <w:top w:val="nil"/>
              <w:left w:val="nil"/>
              <w:bottom w:val="nil"/>
              <w:right w:val="nil"/>
            </w:tcBorders>
            <w:shd w:val="clear" w:color="auto" w:fill="FFFFFF"/>
            <w:vAlign w:val="center"/>
          </w:tcPr>
          <w:p w14:paraId="535983B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0.29</w:t>
            </w:r>
          </w:p>
        </w:tc>
      </w:tr>
      <w:tr w:rsidR="00060E59" w14:paraId="2C3393CD" w14:textId="77777777">
        <w:trPr>
          <w:cantSplit/>
          <w:jc w:val="center"/>
        </w:trPr>
        <w:tc>
          <w:tcPr>
            <w:tcW w:w="850" w:type="dxa"/>
            <w:tcBorders>
              <w:top w:val="nil"/>
              <w:left w:val="nil"/>
              <w:bottom w:val="nil"/>
              <w:right w:val="nil"/>
            </w:tcBorders>
            <w:shd w:val="clear" w:color="auto" w:fill="FFFFFF"/>
            <w:vAlign w:val="center"/>
          </w:tcPr>
          <w:p w14:paraId="5E953DE1"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9</w:t>
            </w:r>
          </w:p>
        </w:tc>
        <w:tc>
          <w:tcPr>
            <w:tcW w:w="860" w:type="dxa"/>
            <w:tcBorders>
              <w:top w:val="nil"/>
              <w:left w:val="nil"/>
              <w:bottom w:val="nil"/>
              <w:right w:val="nil"/>
            </w:tcBorders>
            <w:shd w:val="clear" w:color="auto" w:fill="FFFFFF"/>
            <w:vAlign w:val="center"/>
          </w:tcPr>
          <w:p w14:paraId="1E73C9F1"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5B16D6ED"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16401AAA"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344BBA0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582DA42B"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9FFF3D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1B3A605D"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98FA0C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06180010"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3</w:t>
            </w:r>
          </w:p>
        </w:tc>
        <w:tc>
          <w:tcPr>
            <w:tcW w:w="860" w:type="dxa"/>
            <w:tcBorders>
              <w:top w:val="nil"/>
              <w:left w:val="nil"/>
              <w:bottom w:val="nil"/>
              <w:right w:val="nil"/>
            </w:tcBorders>
            <w:shd w:val="clear" w:color="auto" w:fill="FFFFFF"/>
            <w:vAlign w:val="center"/>
          </w:tcPr>
          <w:p w14:paraId="61C70C6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0.43</w:t>
            </w:r>
          </w:p>
        </w:tc>
      </w:tr>
      <w:tr w:rsidR="00060E59" w14:paraId="4E903F49" w14:textId="77777777">
        <w:trPr>
          <w:cantSplit/>
          <w:jc w:val="center"/>
        </w:trPr>
        <w:tc>
          <w:tcPr>
            <w:tcW w:w="850" w:type="dxa"/>
            <w:tcBorders>
              <w:top w:val="nil"/>
              <w:left w:val="nil"/>
              <w:bottom w:val="nil"/>
              <w:right w:val="nil"/>
            </w:tcBorders>
            <w:shd w:val="clear" w:color="auto" w:fill="FFFFFF"/>
            <w:vAlign w:val="center"/>
          </w:tcPr>
          <w:p w14:paraId="51B9E4C8"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10</w:t>
            </w:r>
          </w:p>
        </w:tc>
        <w:tc>
          <w:tcPr>
            <w:tcW w:w="860" w:type="dxa"/>
            <w:tcBorders>
              <w:top w:val="nil"/>
              <w:left w:val="nil"/>
              <w:bottom w:val="nil"/>
              <w:right w:val="nil"/>
            </w:tcBorders>
            <w:shd w:val="clear" w:color="auto" w:fill="FFFFFF"/>
            <w:vAlign w:val="center"/>
          </w:tcPr>
          <w:p w14:paraId="638AA72B"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593C06A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ED7C29A"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665185E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08AE7C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4BEA969B"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01A0A5E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0B0A6B5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9C48DD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1</w:t>
            </w:r>
          </w:p>
        </w:tc>
        <w:tc>
          <w:tcPr>
            <w:tcW w:w="860" w:type="dxa"/>
            <w:tcBorders>
              <w:top w:val="nil"/>
              <w:left w:val="nil"/>
              <w:bottom w:val="nil"/>
              <w:right w:val="nil"/>
            </w:tcBorders>
            <w:shd w:val="clear" w:color="auto" w:fill="FFFFFF"/>
            <w:vAlign w:val="center"/>
          </w:tcPr>
          <w:p w14:paraId="7482875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0.14</w:t>
            </w:r>
          </w:p>
        </w:tc>
      </w:tr>
      <w:tr w:rsidR="00060E59" w14:paraId="12B2DB7C" w14:textId="77777777">
        <w:trPr>
          <w:cantSplit/>
          <w:jc w:val="center"/>
        </w:trPr>
        <w:tc>
          <w:tcPr>
            <w:tcW w:w="850" w:type="dxa"/>
            <w:tcBorders>
              <w:top w:val="nil"/>
              <w:left w:val="nil"/>
              <w:right w:val="nil"/>
            </w:tcBorders>
            <w:shd w:val="clear" w:color="auto" w:fill="FFFFFF"/>
            <w:vAlign w:val="center"/>
          </w:tcPr>
          <w:p w14:paraId="0ED8A7D1"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11</w:t>
            </w:r>
          </w:p>
        </w:tc>
        <w:tc>
          <w:tcPr>
            <w:tcW w:w="860" w:type="dxa"/>
            <w:tcBorders>
              <w:top w:val="nil"/>
              <w:left w:val="nil"/>
              <w:right w:val="nil"/>
            </w:tcBorders>
            <w:shd w:val="clear" w:color="auto" w:fill="FFFFFF"/>
            <w:vAlign w:val="center"/>
          </w:tcPr>
          <w:p w14:paraId="28AABDAA"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right w:val="nil"/>
            </w:tcBorders>
            <w:shd w:val="clear" w:color="auto" w:fill="FFFFFF"/>
            <w:vAlign w:val="center"/>
          </w:tcPr>
          <w:p w14:paraId="393AFA3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right w:val="nil"/>
            </w:tcBorders>
            <w:shd w:val="clear" w:color="auto" w:fill="FFFFFF"/>
            <w:vAlign w:val="center"/>
          </w:tcPr>
          <w:p w14:paraId="269D4F6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right w:val="nil"/>
            </w:tcBorders>
            <w:shd w:val="clear" w:color="auto" w:fill="FFFFFF"/>
            <w:vAlign w:val="center"/>
          </w:tcPr>
          <w:p w14:paraId="7BFB9980"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right w:val="nil"/>
            </w:tcBorders>
            <w:shd w:val="clear" w:color="auto" w:fill="FFFFFF"/>
            <w:vAlign w:val="center"/>
          </w:tcPr>
          <w:p w14:paraId="7E3CAC1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right w:val="nil"/>
            </w:tcBorders>
            <w:shd w:val="clear" w:color="auto" w:fill="FFFFFF"/>
            <w:vAlign w:val="center"/>
          </w:tcPr>
          <w:p w14:paraId="78A32AC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right w:val="nil"/>
            </w:tcBorders>
            <w:shd w:val="clear" w:color="auto" w:fill="FFFFFF"/>
            <w:vAlign w:val="center"/>
          </w:tcPr>
          <w:p w14:paraId="26ADCDB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right w:val="nil"/>
            </w:tcBorders>
            <w:shd w:val="clear" w:color="auto" w:fill="FFFFFF"/>
            <w:vAlign w:val="center"/>
          </w:tcPr>
          <w:p w14:paraId="74B9DE30"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right w:val="nil"/>
            </w:tcBorders>
            <w:shd w:val="clear" w:color="auto" w:fill="FFFFFF"/>
            <w:vAlign w:val="center"/>
          </w:tcPr>
          <w:p w14:paraId="198DC92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1</w:t>
            </w:r>
          </w:p>
        </w:tc>
        <w:tc>
          <w:tcPr>
            <w:tcW w:w="860" w:type="dxa"/>
            <w:tcBorders>
              <w:top w:val="nil"/>
              <w:left w:val="nil"/>
              <w:right w:val="nil"/>
            </w:tcBorders>
            <w:shd w:val="clear" w:color="auto" w:fill="FFFFFF"/>
            <w:vAlign w:val="center"/>
          </w:tcPr>
          <w:p w14:paraId="6F6BB95B"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0.14</w:t>
            </w:r>
          </w:p>
        </w:tc>
      </w:tr>
      <w:tr w:rsidR="00060E59" w14:paraId="1CEDBA8B" w14:textId="77777777">
        <w:trPr>
          <w:cantSplit/>
          <w:jc w:val="center"/>
        </w:trPr>
        <w:tc>
          <w:tcPr>
            <w:tcW w:w="850" w:type="dxa"/>
            <w:tcBorders>
              <w:top w:val="nil"/>
              <w:left w:val="nil"/>
              <w:bottom w:val="single" w:sz="4" w:space="0" w:color="auto"/>
              <w:right w:val="nil"/>
            </w:tcBorders>
            <w:shd w:val="clear" w:color="auto" w:fill="FFFFFF"/>
            <w:vAlign w:val="center"/>
          </w:tcPr>
          <w:p w14:paraId="729AEE99"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12</w:t>
            </w:r>
          </w:p>
        </w:tc>
        <w:tc>
          <w:tcPr>
            <w:tcW w:w="860" w:type="dxa"/>
            <w:tcBorders>
              <w:top w:val="nil"/>
              <w:left w:val="nil"/>
              <w:bottom w:val="single" w:sz="4" w:space="0" w:color="auto"/>
              <w:right w:val="nil"/>
            </w:tcBorders>
            <w:shd w:val="clear" w:color="auto" w:fill="FFFFFF"/>
            <w:vAlign w:val="center"/>
          </w:tcPr>
          <w:p w14:paraId="3CC0598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single" w:sz="4" w:space="0" w:color="auto"/>
              <w:right w:val="nil"/>
            </w:tcBorders>
            <w:shd w:val="clear" w:color="auto" w:fill="FFFFFF"/>
            <w:vAlign w:val="center"/>
          </w:tcPr>
          <w:p w14:paraId="3A37198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single" w:sz="4" w:space="0" w:color="auto"/>
              <w:right w:val="nil"/>
            </w:tcBorders>
            <w:shd w:val="clear" w:color="auto" w:fill="FFFFFF"/>
            <w:vAlign w:val="center"/>
          </w:tcPr>
          <w:p w14:paraId="6EDC5F6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single" w:sz="4" w:space="0" w:color="auto"/>
              <w:right w:val="nil"/>
            </w:tcBorders>
            <w:shd w:val="clear" w:color="auto" w:fill="FFFFFF"/>
            <w:vAlign w:val="center"/>
          </w:tcPr>
          <w:p w14:paraId="17451E8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single" w:sz="4" w:space="0" w:color="auto"/>
              <w:right w:val="nil"/>
            </w:tcBorders>
            <w:shd w:val="clear" w:color="auto" w:fill="FFFFFF"/>
            <w:vAlign w:val="center"/>
          </w:tcPr>
          <w:p w14:paraId="51B103B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single" w:sz="4" w:space="0" w:color="auto"/>
              <w:right w:val="nil"/>
            </w:tcBorders>
            <w:shd w:val="clear" w:color="auto" w:fill="FFFFFF"/>
            <w:vAlign w:val="center"/>
          </w:tcPr>
          <w:p w14:paraId="0EE8B284"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single" w:sz="4" w:space="0" w:color="auto"/>
              <w:right w:val="nil"/>
            </w:tcBorders>
            <w:shd w:val="clear" w:color="auto" w:fill="FFFFFF"/>
            <w:vAlign w:val="center"/>
          </w:tcPr>
          <w:p w14:paraId="1015316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single" w:sz="4" w:space="0" w:color="auto"/>
              <w:right w:val="nil"/>
            </w:tcBorders>
            <w:shd w:val="clear" w:color="auto" w:fill="FFFFFF"/>
            <w:vAlign w:val="center"/>
          </w:tcPr>
          <w:p w14:paraId="1815A9F2"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single" w:sz="4" w:space="0" w:color="auto"/>
              <w:right w:val="nil"/>
            </w:tcBorders>
            <w:shd w:val="clear" w:color="auto" w:fill="FFFFFF"/>
            <w:vAlign w:val="center"/>
          </w:tcPr>
          <w:p w14:paraId="122554C0"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1</w:t>
            </w:r>
          </w:p>
        </w:tc>
        <w:tc>
          <w:tcPr>
            <w:tcW w:w="860" w:type="dxa"/>
            <w:tcBorders>
              <w:top w:val="nil"/>
              <w:left w:val="nil"/>
              <w:bottom w:val="single" w:sz="4" w:space="0" w:color="auto"/>
              <w:right w:val="nil"/>
            </w:tcBorders>
            <w:shd w:val="clear" w:color="auto" w:fill="FFFFFF"/>
            <w:vAlign w:val="center"/>
          </w:tcPr>
          <w:p w14:paraId="3D310731"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0.14</w:t>
            </w:r>
          </w:p>
        </w:tc>
      </w:tr>
      <w:bookmarkEnd w:id="4"/>
    </w:tbl>
    <w:p w14:paraId="63331126" w14:textId="77777777" w:rsidR="00060E59" w:rsidRDefault="00060E59">
      <w:pPr>
        <w:autoSpaceDE w:val="0"/>
        <w:autoSpaceDN w:val="0"/>
        <w:adjustRightInd w:val="0"/>
        <w:ind w:firstLineChars="200" w:firstLine="400"/>
        <w:jc w:val="center"/>
        <w:rPr>
          <w:rFonts w:ascii="Times New Roman" w:hAnsi="Times New Roman"/>
          <w:sz w:val="20"/>
          <w:szCs w:val="20"/>
        </w:rPr>
      </w:pPr>
    </w:p>
    <w:p w14:paraId="780DA353" w14:textId="77777777" w:rsidR="00060E59" w:rsidRDefault="00682037">
      <w:pPr>
        <w:autoSpaceDE w:val="0"/>
        <w:autoSpaceDN w:val="0"/>
        <w:adjustRightInd w:val="0"/>
        <w:jc w:val="left"/>
        <w:rPr>
          <w:rFonts w:ascii="Times New Roman" w:hAnsi="Times New Roman" w:cs="Times New Roman"/>
        </w:rPr>
      </w:pPr>
      <w:r>
        <w:rPr>
          <w:rFonts w:ascii="Times New Roman" w:hAnsi="Times New Roman" w:cs="Times New Roman" w:hint="eastAsia"/>
        </w:rPr>
        <w:t xml:space="preserve">Notes: A tick in the cell represents that the corresponding variable is not missing while a cross represents the otherwise. "Aspirin" and "Statins" refer to usage </w:t>
      </w:r>
      <w:r>
        <w:rPr>
          <w:rFonts w:ascii="Times New Roman" w:hAnsi="Times New Roman" w:cs="Times New Roman" w:hint="eastAsia"/>
        </w:rPr>
        <w:t xml:space="preserve">of the medications. Abbreviation: eGFR: estimated glomerular filtration rate, LDL-C: low-density lipoprotein cholesterol, No.: </w:t>
      </w:r>
      <w:r>
        <w:rPr>
          <w:rFonts w:ascii="Times New Roman" w:hAnsi="Times New Roman" w:cs="Times New Roman" w:hint="eastAsia"/>
        </w:rPr>
        <w:lastRenderedPageBreak/>
        <w:t>number.</w:t>
      </w:r>
    </w:p>
    <w:p w14:paraId="79BAD6BA" w14:textId="77777777" w:rsidR="00060E59" w:rsidRDefault="00060E59">
      <w:pPr>
        <w:autoSpaceDE w:val="0"/>
        <w:autoSpaceDN w:val="0"/>
        <w:adjustRightInd w:val="0"/>
        <w:jc w:val="left"/>
      </w:pPr>
    </w:p>
    <w:p w14:paraId="45C61125" w14:textId="544273D7" w:rsidR="00060E59" w:rsidRDefault="00682037">
      <w:pPr>
        <w:autoSpaceDE w:val="0"/>
        <w:autoSpaceDN w:val="0"/>
        <w:adjustRightInd w:val="0"/>
        <w:jc w:val="center"/>
        <w:rPr>
          <w:rFonts w:ascii="Times New Roman" w:hAnsi="Times New Roman" w:cs="Times New Roman"/>
          <w:b/>
        </w:rPr>
      </w:pPr>
      <w:r>
        <w:rPr>
          <w:rFonts w:ascii="Times New Roman" w:hAnsi="Times New Roman" w:cs="Times New Roman" w:hint="eastAsia"/>
          <w:b/>
        </w:rPr>
        <w:t>Table S</w:t>
      </w:r>
      <w:r>
        <w:rPr>
          <w:rFonts w:ascii="Times New Roman" w:hAnsi="Times New Roman" w:cs="Times New Roman" w:hint="eastAsia"/>
          <w:b/>
        </w:rPr>
        <w:t>4</w:t>
      </w:r>
      <w:r>
        <w:rPr>
          <w:rFonts w:ascii="Times New Roman" w:hAnsi="Times New Roman" w:cs="Times New Roman" w:hint="eastAsia"/>
          <w:b/>
        </w:rPr>
        <w:t xml:space="preserve"> Number and proportions of missing data as well as missingness patterns in the modeling process of Model 4</w:t>
      </w:r>
    </w:p>
    <w:p w14:paraId="5A8C8A30" w14:textId="77777777" w:rsidR="00060E59" w:rsidRDefault="00060E59">
      <w:pPr>
        <w:autoSpaceDE w:val="0"/>
        <w:autoSpaceDN w:val="0"/>
        <w:adjustRightInd w:val="0"/>
        <w:jc w:val="left"/>
        <w:rPr>
          <w:rFonts w:ascii="Times New Roman" w:hAnsi="Times New Roman" w:cs="Times New Roman"/>
          <w:b/>
        </w:rPr>
      </w:pPr>
    </w:p>
    <w:tbl>
      <w:tblPr>
        <w:tblW w:w="0" w:type="auto"/>
        <w:jc w:val="center"/>
        <w:tblLayout w:type="fixed"/>
        <w:tblCellMar>
          <w:left w:w="0" w:type="dxa"/>
          <w:right w:w="0" w:type="dxa"/>
        </w:tblCellMar>
        <w:tblLook w:val="04A0" w:firstRow="1" w:lastRow="0" w:firstColumn="1" w:lastColumn="0" w:noHBand="0" w:noVBand="1"/>
      </w:tblPr>
      <w:tblGrid>
        <w:gridCol w:w="850"/>
        <w:gridCol w:w="860"/>
        <w:gridCol w:w="860"/>
        <w:gridCol w:w="860"/>
        <w:gridCol w:w="860"/>
        <w:gridCol w:w="860"/>
        <w:gridCol w:w="860"/>
        <w:gridCol w:w="860"/>
        <w:gridCol w:w="860"/>
        <w:gridCol w:w="860"/>
      </w:tblGrid>
      <w:tr w:rsidR="00060E59" w14:paraId="48B16B35" w14:textId="77777777">
        <w:trPr>
          <w:cantSplit/>
          <w:tblHeader/>
          <w:jc w:val="center"/>
        </w:trPr>
        <w:tc>
          <w:tcPr>
            <w:tcW w:w="850" w:type="dxa"/>
            <w:tcBorders>
              <w:top w:val="single" w:sz="4" w:space="0" w:color="000000"/>
              <w:left w:val="nil"/>
              <w:bottom w:val="single" w:sz="4" w:space="0" w:color="000000"/>
              <w:right w:val="nil"/>
            </w:tcBorders>
            <w:shd w:val="clear" w:color="auto" w:fill="FFFFFF"/>
            <w:vAlign w:val="center"/>
          </w:tcPr>
          <w:p w14:paraId="54D40D16"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Pattern No.</w:t>
            </w:r>
          </w:p>
        </w:tc>
        <w:tc>
          <w:tcPr>
            <w:tcW w:w="860" w:type="dxa"/>
            <w:tcBorders>
              <w:top w:val="single" w:sz="4" w:space="0" w:color="000000"/>
              <w:left w:val="nil"/>
              <w:bottom w:val="single" w:sz="4" w:space="0" w:color="000000"/>
              <w:right w:val="nil"/>
            </w:tcBorders>
            <w:shd w:val="clear" w:color="auto" w:fill="FFFFFF"/>
            <w:vAlign w:val="center"/>
          </w:tcPr>
          <w:p w14:paraId="6606F59B"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Gender</w:t>
            </w:r>
          </w:p>
        </w:tc>
        <w:tc>
          <w:tcPr>
            <w:tcW w:w="860" w:type="dxa"/>
            <w:tcBorders>
              <w:top w:val="single" w:sz="4" w:space="0" w:color="000000"/>
              <w:left w:val="nil"/>
              <w:bottom w:val="single" w:sz="4" w:space="0" w:color="000000"/>
              <w:right w:val="nil"/>
            </w:tcBorders>
            <w:shd w:val="clear" w:color="auto" w:fill="FFFFFF"/>
            <w:vAlign w:val="center"/>
          </w:tcPr>
          <w:p w14:paraId="34093BBD"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Age</w:t>
            </w:r>
            <w:r>
              <w:rPr>
                <w:rFonts w:ascii="Times New Roman" w:hAnsi="Times New Roman" w:cs="Times New Roman" w:hint="eastAsia"/>
                <w:color w:val="000000"/>
              </w:rPr>
              <w:br/>
              <w:t>(years)</w:t>
            </w:r>
          </w:p>
        </w:tc>
        <w:tc>
          <w:tcPr>
            <w:tcW w:w="860" w:type="dxa"/>
            <w:tcBorders>
              <w:top w:val="single" w:sz="4" w:space="0" w:color="000000"/>
              <w:left w:val="nil"/>
              <w:bottom w:val="single" w:sz="4" w:space="0" w:color="000000"/>
              <w:right w:val="nil"/>
            </w:tcBorders>
            <w:shd w:val="clear" w:color="auto" w:fill="FFFFFF"/>
            <w:vAlign w:val="center"/>
          </w:tcPr>
          <w:p w14:paraId="614581D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LDL-C</w:t>
            </w:r>
          </w:p>
        </w:tc>
        <w:tc>
          <w:tcPr>
            <w:tcW w:w="860" w:type="dxa"/>
            <w:tcBorders>
              <w:top w:val="single" w:sz="4" w:space="0" w:color="000000"/>
              <w:left w:val="nil"/>
              <w:bottom w:val="single" w:sz="4" w:space="0" w:color="000000"/>
              <w:right w:val="nil"/>
            </w:tcBorders>
            <w:shd w:val="clear" w:color="auto" w:fill="FFFFFF"/>
            <w:vAlign w:val="center"/>
          </w:tcPr>
          <w:p w14:paraId="42943B6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HDL-C</w:t>
            </w:r>
          </w:p>
        </w:tc>
        <w:tc>
          <w:tcPr>
            <w:tcW w:w="860" w:type="dxa"/>
            <w:tcBorders>
              <w:top w:val="single" w:sz="4" w:space="0" w:color="000000"/>
              <w:left w:val="nil"/>
              <w:bottom w:val="single" w:sz="4" w:space="0" w:color="000000"/>
              <w:right w:val="nil"/>
            </w:tcBorders>
            <w:shd w:val="clear" w:color="auto" w:fill="FFFFFF"/>
            <w:vAlign w:val="center"/>
          </w:tcPr>
          <w:p w14:paraId="4BB7ADC4"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Diabetes</w:t>
            </w:r>
          </w:p>
        </w:tc>
        <w:tc>
          <w:tcPr>
            <w:tcW w:w="860" w:type="dxa"/>
            <w:tcBorders>
              <w:top w:val="single" w:sz="4" w:space="0" w:color="000000"/>
              <w:left w:val="nil"/>
              <w:bottom w:val="single" w:sz="4" w:space="0" w:color="000000"/>
              <w:right w:val="nil"/>
            </w:tcBorders>
            <w:shd w:val="clear" w:color="auto" w:fill="FFFFFF"/>
            <w:vAlign w:val="center"/>
          </w:tcPr>
          <w:p w14:paraId="60921FC1"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Current Smoking</w:t>
            </w:r>
          </w:p>
        </w:tc>
        <w:tc>
          <w:tcPr>
            <w:tcW w:w="860" w:type="dxa"/>
            <w:tcBorders>
              <w:top w:val="single" w:sz="4" w:space="0" w:color="000000"/>
              <w:left w:val="nil"/>
              <w:bottom w:val="single" w:sz="4" w:space="0" w:color="000000"/>
              <w:right w:val="nil"/>
            </w:tcBorders>
            <w:shd w:val="clear" w:color="auto" w:fill="FFFFFF"/>
            <w:vAlign w:val="center"/>
          </w:tcPr>
          <w:p w14:paraId="60D90A00"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eGFR</w:t>
            </w:r>
          </w:p>
        </w:tc>
        <w:tc>
          <w:tcPr>
            <w:tcW w:w="860" w:type="dxa"/>
            <w:tcBorders>
              <w:top w:val="single" w:sz="4" w:space="0" w:color="000000"/>
              <w:left w:val="nil"/>
              <w:bottom w:val="single" w:sz="4" w:space="0" w:color="000000"/>
              <w:right w:val="nil"/>
            </w:tcBorders>
            <w:shd w:val="clear" w:color="auto" w:fill="FFFFFF"/>
            <w:vAlign w:val="center"/>
          </w:tcPr>
          <w:p w14:paraId="01618882"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No. of subjects with this missing pattern</w:t>
            </w:r>
          </w:p>
        </w:tc>
        <w:tc>
          <w:tcPr>
            <w:tcW w:w="860" w:type="dxa"/>
            <w:tcBorders>
              <w:top w:val="single" w:sz="4" w:space="0" w:color="000000"/>
              <w:left w:val="nil"/>
              <w:bottom w:val="single" w:sz="4" w:space="0" w:color="000000"/>
              <w:right w:val="nil"/>
            </w:tcBorders>
            <w:shd w:val="clear" w:color="auto" w:fill="FFFFFF"/>
            <w:vAlign w:val="center"/>
          </w:tcPr>
          <w:p w14:paraId="15BE82ED"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Proportion of subjects with this missing pattern</w:t>
            </w:r>
          </w:p>
        </w:tc>
      </w:tr>
      <w:tr w:rsidR="00060E59" w14:paraId="79DE4F3D" w14:textId="77777777">
        <w:trPr>
          <w:cantSplit/>
          <w:jc w:val="center"/>
        </w:trPr>
        <w:tc>
          <w:tcPr>
            <w:tcW w:w="850" w:type="dxa"/>
            <w:tcBorders>
              <w:top w:val="nil"/>
              <w:left w:val="nil"/>
              <w:bottom w:val="nil"/>
              <w:right w:val="nil"/>
            </w:tcBorders>
            <w:shd w:val="clear" w:color="auto" w:fill="FFFFFF"/>
            <w:vAlign w:val="center"/>
          </w:tcPr>
          <w:p w14:paraId="596A9C91"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1</w:t>
            </w:r>
          </w:p>
        </w:tc>
        <w:tc>
          <w:tcPr>
            <w:tcW w:w="860" w:type="dxa"/>
            <w:tcBorders>
              <w:top w:val="nil"/>
              <w:left w:val="nil"/>
              <w:bottom w:val="nil"/>
              <w:right w:val="nil"/>
            </w:tcBorders>
            <w:shd w:val="clear" w:color="auto" w:fill="FFFFFF"/>
            <w:vAlign w:val="center"/>
          </w:tcPr>
          <w:p w14:paraId="6A0553C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96B986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5FC1F66A"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F17224A"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58B4C4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BFACA2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0F2A7CD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C03CD9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638</w:t>
            </w:r>
          </w:p>
        </w:tc>
        <w:tc>
          <w:tcPr>
            <w:tcW w:w="860" w:type="dxa"/>
            <w:tcBorders>
              <w:top w:val="nil"/>
              <w:left w:val="nil"/>
              <w:bottom w:val="nil"/>
              <w:right w:val="nil"/>
            </w:tcBorders>
            <w:shd w:val="clear" w:color="auto" w:fill="FFFFFF"/>
            <w:vAlign w:val="center"/>
          </w:tcPr>
          <w:p w14:paraId="68F4293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91.93</w:t>
            </w:r>
          </w:p>
        </w:tc>
      </w:tr>
      <w:tr w:rsidR="00060E59" w14:paraId="29DB8CAE" w14:textId="77777777">
        <w:trPr>
          <w:cantSplit/>
          <w:jc w:val="center"/>
        </w:trPr>
        <w:tc>
          <w:tcPr>
            <w:tcW w:w="850" w:type="dxa"/>
            <w:tcBorders>
              <w:top w:val="nil"/>
              <w:left w:val="nil"/>
              <w:bottom w:val="nil"/>
              <w:right w:val="nil"/>
            </w:tcBorders>
            <w:shd w:val="clear" w:color="auto" w:fill="FFFFFF"/>
            <w:vAlign w:val="center"/>
          </w:tcPr>
          <w:p w14:paraId="6092C7B3"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2</w:t>
            </w:r>
          </w:p>
        </w:tc>
        <w:tc>
          <w:tcPr>
            <w:tcW w:w="860" w:type="dxa"/>
            <w:tcBorders>
              <w:top w:val="nil"/>
              <w:left w:val="nil"/>
              <w:bottom w:val="nil"/>
              <w:right w:val="nil"/>
            </w:tcBorders>
            <w:shd w:val="clear" w:color="auto" w:fill="FFFFFF"/>
            <w:vAlign w:val="center"/>
          </w:tcPr>
          <w:p w14:paraId="7A0417A2"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0A0B9A7D"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7A3271F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7C4B18A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7FD855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03F0A61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422040C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A62FC1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47</w:t>
            </w:r>
          </w:p>
        </w:tc>
        <w:tc>
          <w:tcPr>
            <w:tcW w:w="860" w:type="dxa"/>
            <w:tcBorders>
              <w:top w:val="nil"/>
              <w:left w:val="nil"/>
              <w:bottom w:val="nil"/>
              <w:right w:val="nil"/>
            </w:tcBorders>
            <w:shd w:val="clear" w:color="auto" w:fill="FFFFFF"/>
            <w:vAlign w:val="center"/>
          </w:tcPr>
          <w:p w14:paraId="726F1091"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6.77</w:t>
            </w:r>
          </w:p>
        </w:tc>
      </w:tr>
      <w:tr w:rsidR="00060E59" w14:paraId="3141817E" w14:textId="77777777">
        <w:trPr>
          <w:cantSplit/>
          <w:jc w:val="center"/>
        </w:trPr>
        <w:tc>
          <w:tcPr>
            <w:tcW w:w="850" w:type="dxa"/>
            <w:tcBorders>
              <w:top w:val="nil"/>
              <w:left w:val="nil"/>
              <w:bottom w:val="nil"/>
              <w:right w:val="nil"/>
            </w:tcBorders>
            <w:shd w:val="clear" w:color="auto" w:fill="FFFFFF"/>
            <w:vAlign w:val="center"/>
          </w:tcPr>
          <w:p w14:paraId="66B0A861"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3</w:t>
            </w:r>
          </w:p>
        </w:tc>
        <w:tc>
          <w:tcPr>
            <w:tcW w:w="860" w:type="dxa"/>
            <w:tcBorders>
              <w:top w:val="nil"/>
              <w:left w:val="nil"/>
              <w:bottom w:val="nil"/>
              <w:right w:val="nil"/>
            </w:tcBorders>
            <w:shd w:val="clear" w:color="auto" w:fill="FFFFFF"/>
            <w:vAlign w:val="center"/>
          </w:tcPr>
          <w:p w14:paraId="223881C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CD7A8C0"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871B87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DBDE06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857AED4"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06DAF72D"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19492C00"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729CDC0"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1</w:t>
            </w:r>
          </w:p>
        </w:tc>
        <w:tc>
          <w:tcPr>
            <w:tcW w:w="860" w:type="dxa"/>
            <w:tcBorders>
              <w:top w:val="nil"/>
              <w:left w:val="nil"/>
              <w:bottom w:val="nil"/>
              <w:right w:val="nil"/>
            </w:tcBorders>
            <w:shd w:val="clear" w:color="auto" w:fill="FFFFFF"/>
            <w:vAlign w:val="center"/>
          </w:tcPr>
          <w:p w14:paraId="09C6F8C0"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0.14</w:t>
            </w:r>
          </w:p>
        </w:tc>
      </w:tr>
      <w:tr w:rsidR="00060E59" w14:paraId="606D93A8" w14:textId="77777777">
        <w:trPr>
          <w:cantSplit/>
          <w:jc w:val="center"/>
        </w:trPr>
        <w:tc>
          <w:tcPr>
            <w:tcW w:w="850" w:type="dxa"/>
            <w:tcBorders>
              <w:top w:val="nil"/>
              <w:left w:val="nil"/>
              <w:bottom w:val="nil"/>
              <w:right w:val="nil"/>
            </w:tcBorders>
            <w:shd w:val="clear" w:color="auto" w:fill="FFFFFF"/>
            <w:vAlign w:val="center"/>
          </w:tcPr>
          <w:p w14:paraId="39118AE7"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4</w:t>
            </w:r>
          </w:p>
        </w:tc>
        <w:tc>
          <w:tcPr>
            <w:tcW w:w="860" w:type="dxa"/>
            <w:tcBorders>
              <w:top w:val="nil"/>
              <w:left w:val="nil"/>
              <w:bottom w:val="nil"/>
              <w:right w:val="nil"/>
            </w:tcBorders>
            <w:shd w:val="clear" w:color="auto" w:fill="FFFFFF"/>
            <w:vAlign w:val="center"/>
          </w:tcPr>
          <w:p w14:paraId="710A885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C1E972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7C9989B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2944DD1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51E28A6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7AE4837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B940AE1"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972187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2</w:t>
            </w:r>
          </w:p>
        </w:tc>
        <w:tc>
          <w:tcPr>
            <w:tcW w:w="860" w:type="dxa"/>
            <w:tcBorders>
              <w:top w:val="nil"/>
              <w:left w:val="nil"/>
              <w:bottom w:val="nil"/>
              <w:right w:val="nil"/>
            </w:tcBorders>
            <w:shd w:val="clear" w:color="auto" w:fill="FFFFFF"/>
            <w:vAlign w:val="center"/>
          </w:tcPr>
          <w:p w14:paraId="5920F541"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0.29</w:t>
            </w:r>
          </w:p>
        </w:tc>
      </w:tr>
      <w:tr w:rsidR="00060E59" w14:paraId="696277E7" w14:textId="77777777">
        <w:trPr>
          <w:cantSplit/>
          <w:jc w:val="center"/>
        </w:trPr>
        <w:tc>
          <w:tcPr>
            <w:tcW w:w="850" w:type="dxa"/>
            <w:tcBorders>
              <w:top w:val="nil"/>
              <w:left w:val="nil"/>
              <w:bottom w:val="nil"/>
              <w:right w:val="nil"/>
            </w:tcBorders>
            <w:shd w:val="clear" w:color="auto" w:fill="FFFFFF"/>
            <w:vAlign w:val="center"/>
          </w:tcPr>
          <w:p w14:paraId="66C67416"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5</w:t>
            </w:r>
          </w:p>
        </w:tc>
        <w:tc>
          <w:tcPr>
            <w:tcW w:w="860" w:type="dxa"/>
            <w:tcBorders>
              <w:top w:val="nil"/>
              <w:left w:val="nil"/>
              <w:bottom w:val="nil"/>
              <w:right w:val="nil"/>
            </w:tcBorders>
            <w:shd w:val="clear" w:color="auto" w:fill="FFFFFF"/>
            <w:vAlign w:val="center"/>
          </w:tcPr>
          <w:p w14:paraId="66606AF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1BF3C8E4"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726E99C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180E8E6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017921D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1F13FF9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5D40E61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1DC832CD"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3</w:t>
            </w:r>
          </w:p>
        </w:tc>
        <w:tc>
          <w:tcPr>
            <w:tcW w:w="860" w:type="dxa"/>
            <w:tcBorders>
              <w:top w:val="nil"/>
              <w:left w:val="nil"/>
              <w:bottom w:val="nil"/>
              <w:right w:val="nil"/>
            </w:tcBorders>
            <w:shd w:val="clear" w:color="auto" w:fill="FFFFFF"/>
            <w:vAlign w:val="center"/>
          </w:tcPr>
          <w:p w14:paraId="245198D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0.43</w:t>
            </w:r>
          </w:p>
        </w:tc>
      </w:tr>
      <w:tr w:rsidR="00060E59" w14:paraId="79004F27" w14:textId="77777777">
        <w:trPr>
          <w:cantSplit/>
          <w:jc w:val="center"/>
        </w:trPr>
        <w:tc>
          <w:tcPr>
            <w:tcW w:w="850" w:type="dxa"/>
            <w:tcBorders>
              <w:top w:val="nil"/>
              <w:left w:val="nil"/>
              <w:right w:val="nil"/>
            </w:tcBorders>
            <w:shd w:val="clear" w:color="auto" w:fill="FFFFFF"/>
            <w:vAlign w:val="center"/>
          </w:tcPr>
          <w:p w14:paraId="019ED168"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6</w:t>
            </w:r>
          </w:p>
        </w:tc>
        <w:tc>
          <w:tcPr>
            <w:tcW w:w="860" w:type="dxa"/>
            <w:tcBorders>
              <w:top w:val="nil"/>
              <w:left w:val="nil"/>
              <w:right w:val="nil"/>
            </w:tcBorders>
            <w:shd w:val="clear" w:color="auto" w:fill="FFFFFF"/>
            <w:vAlign w:val="center"/>
          </w:tcPr>
          <w:p w14:paraId="44D43941"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right w:val="nil"/>
            </w:tcBorders>
            <w:shd w:val="clear" w:color="auto" w:fill="FFFFFF"/>
            <w:vAlign w:val="center"/>
          </w:tcPr>
          <w:p w14:paraId="1CA54E7B"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right w:val="nil"/>
            </w:tcBorders>
            <w:shd w:val="clear" w:color="auto" w:fill="FFFFFF"/>
            <w:vAlign w:val="center"/>
          </w:tcPr>
          <w:p w14:paraId="0CC077CA"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right w:val="nil"/>
            </w:tcBorders>
            <w:shd w:val="clear" w:color="auto" w:fill="FFFFFF"/>
            <w:vAlign w:val="center"/>
          </w:tcPr>
          <w:p w14:paraId="4EC02F3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right w:val="nil"/>
            </w:tcBorders>
            <w:shd w:val="clear" w:color="auto" w:fill="FFFFFF"/>
            <w:vAlign w:val="center"/>
          </w:tcPr>
          <w:p w14:paraId="3DE0189D"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right w:val="nil"/>
            </w:tcBorders>
            <w:shd w:val="clear" w:color="auto" w:fill="FFFFFF"/>
            <w:vAlign w:val="center"/>
          </w:tcPr>
          <w:p w14:paraId="591D0B6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right w:val="nil"/>
            </w:tcBorders>
            <w:shd w:val="clear" w:color="auto" w:fill="FFFFFF"/>
            <w:vAlign w:val="center"/>
          </w:tcPr>
          <w:p w14:paraId="4A4AB25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right w:val="nil"/>
            </w:tcBorders>
            <w:shd w:val="clear" w:color="auto" w:fill="FFFFFF"/>
            <w:vAlign w:val="center"/>
          </w:tcPr>
          <w:p w14:paraId="2EA8006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1</w:t>
            </w:r>
          </w:p>
        </w:tc>
        <w:tc>
          <w:tcPr>
            <w:tcW w:w="860" w:type="dxa"/>
            <w:tcBorders>
              <w:top w:val="nil"/>
              <w:left w:val="nil"/>
              <w:right w:val="nil"/>
            </w:tcBorders>
            <w:shd w:val="clear" w:color="auto" w:fill="FFFFFF"/>
            <w:vAlign w:val="center"/>
          </w:tcPr>
          <w:p w14:paraId="7E25537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0.14</w:t>
            </w:r>
          </w:p>
        </w:tc>
      </w:tr>
      <w:tr w:rsidR="00060E59" w14:paraId="022F7025" w14:textId="77777777">
        <w:trPr>
          <w:cantSplit/>
          <w:jc w:val="center"/>
        </w:trPr>
        <w:tc>
          <w:tcPr>
            <w:tcW w:w="850" w:type="dxa"/>
            <w:tcBorders>
              <w:top w:val="nil"/>
              <w:left w:val="nil"/>
              <w:bottom w:val="single" w:sz="4" w:space="0" w:color="auto"/>
              <w:right w:val="nil"/>
            </w:tcBorders>
            <w:shd w:val="clear" w:color="auto" w:fill="FFFFFF"/>
            <w:vAlign w:val="center"/>
          </w:tcPr>
          <w:p w14:paraId="1BE9714C"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7</w:t>
            </w:r>
          </w:p>
        </w:tc>
        <w:tc>
          <w:tcPr>
            <w:tcW w:w="860" w:type="dxa"/>
            <w:tcBorders>
              <w:top w:val="nil"/>
              <w:left w:val="nil"/>
              <w:bottom w:val="single" w:sz="4" w:space="0" w:color="auto"/>
              <w:right w:val="nil"/>
            </w:tcBorders>
            <w:shd w:val="clear" w:color="auto" w:fill="FFFFFF"/>
            <w:vAlign w:val="center"/>
          </w:tcPr>
          <w:p w14:paraId="65AC3A4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single" w:sz="4" w:space="0" w:color="auto"/>
              <w:right w:val="nil"/>
            </w:tcBorders>
            <w:shd w:val="clear" w:color="auto" w:fill="FFFFFF"/>
            <w:vAlign w:val="center"/>
          </w:tcPr>
          <w:p w14:paraId="1B440B6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single" w:sz="4" w:space="0" w:color="auto"/>
              <w:right w:val="nil"/>
            </w:tcBorders>
            <w:shd w:val="clear" w:color="auto" w:fill="FFFFFF"/>
            <w:vAlign w:val="center"/>
          </w:tcPr>
          <w:p w14:paraId="1C758FC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single" w:sz="4" w:space="0" w:color="auto"/>
              <w:right w:val="nil"/>
            </w:tcBorders>
            <w:shd w:val="clear" w:color="auto" w:fill="FFFFFF"/>
            <w:vAlign w:val="center"/>
          </w:tcPr>
          <w:p w14:paraId="6519DC0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single" w:sz="4" w:space="0" w:color="auto"/>
              <w:right w:val="nil"/>
            </w:tcBorders>
            <w:shd w:val="clear" w:color="auto" w:fill="FFFFFF"/>
            <w:vAlign w:val="center"/>
          </w:tcPr>
          <w:p w14:paraId="2C1BA3E2"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single" w:sz="4" w:space="0" w:color="auto"/>
              <w:right w:val="nil"/>
            </w:tcBorders>
            <w:shd w:val="clear" w:color="auto" w:fill="FFFFFF"/>
            <w:vAlign w:val="center"/>
          </w:tcPr>
          <w:p w14:paraId="3B6AE1A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single" w:sz="4" w:space="0" w:color="auto"/>
              <w:right w:val="nil"/>
            </w:tcBorders>
            <w:shd w:val="clear" w:color="auto" w:fill="FFFFFF"/>
            <w:vAlign w:val="center"/>
          </w:tcPr>
          <w:p w14:paraId="0E609C1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single" w:sz="4" w:space="0" w:color="auto"/>
              <w:right w:val="nil"/>
            </w:tcBorders>
            <w:shd w:val="clear" w:color="auto" w:fill="FFFFFF"/>
            <w:vAlign w:val="center"/>
          </w:tcPr>
          <w:p w14:paraId="2B51DE7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2</w:t>
            </w:r>
          </w:p>
        </w:tc>
        <w:tc>
          <w:tcPr>
            <w:tcW w:w="860" w:type="dxa"/>
            <w:tcBorders>
              <w:top w:val="nil"/>
              <w:left w:val="nil"/>
              <w:bottom w:val="single" w:sz="4" w:space="0" w:color="auto"/>
              <w:right w:val="nil"/>
            </w:tcBorders>
            <w:shd w:val="clear" w:color="auto" w:fill="FFFFFF"/>
            <w:vAlign w:val="center"/>
          </w:tcPr>
          <w:p w14:paraId="7ECFBA6A"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0.29</w:t>
            </w:r>
          </w:p>
        </w:tc>
      </w:tr>
    </w:tbl>
    <w:p w14:paraId="79FE3D31" w14:textId="77777777" w:rsidR="00060E59" w:rsidRDefault="00060E59">
      <w:pPr>
        <w:autoSpaceDE w:val="0"/>
        <w:autoSpaceDN w:val="0"/>
        <w:adjustRightInd w:val="0"/>
        <w:jc w:val="left"/>
        <w:rPr>
          <w:rFonts w:ascii="Times New Roman" w:hAnsi="Times New Roman" w:cs="Times New Roman"/>
        </w:rPr>
      </w:pPr>
    </w:p>
    <w:p w14:paraId="297E6907" w14:textId="77777777" w:rsidR="00060E59" w:rsidRDefault="00682037">
      <w:pPr>
        <w:autoSpaceDE w:val="0"/>
        <w:autoSpaceDN w:val="0"/>
        <w:adjustRightInd w:val="0"/>
        <w:jc w:val="left"/>
        <w:rPr>
          <w:rFonts w:ascii="Times New Roman" w:hAnsi="Times New Roman" w:cs="Times New Roman"/>
        </w:rPr>
      </w:pPr>
      <w:r>
        <w:rPr>
          <w:rFonts w:ascii="Times New Roman" w:hAnsi="Times New Roman" w:cs="Times New Roman" w:hint="eastAsia"/>
        </w:rPr>
        <w:t xml:space="preserve">Notes: A tick in the cell represents that the corresponding variable is not missing while a cross represents the otherwise. Abbreviation: eGFR: estimated glomerular </w:t>
      </w:r>
      <w:r>
        <w:rPr>
          <w:rFonts w:ascii="Times New Roman" w:hAnsi="Times New Roman" w:cs="Times New Roman" w:hint="eastAsia"/>
        </w:rPr>
        <w:t>filtration rate, HDL-C: high-density lipoprotein cholesterol, LDL-C: low-density lipoprotein cholesterol, No.: number.</w:t>
      </w:r>
    </w:p>
    <w:p w14:paraId="18158685" w14:textId="77777777" w:rsidR="00060E59" w:rsidRDefault="00060E59">
      <w:pPr>
        <w:autoSpaceDE w:val="0"/>
        <w:autoSpaceDN w:val="0"/>
        <w:adjustRightInd w:val="0"/>
        <w:jc w:val="left"/>
      </w:pPr>
    </w:p>
    <w:p w14:paraId="40EBC6C7" w14:textId="1462D1C1" w:rsidR="00060E59" w:rsidRDefault="00682037">
      <w:pPr>
        <w:autoSpaceDE w:val="0"/>
        <w:autoSpaceDN w:val="0"/>
        <w:adjustRightInd w:val="0"/>
        <w:jc w:val="center"/>
        <w:rPr>
          <w:rFonts w:ascii="Times New Roman" w:hAnsi="Times New Roman" w:cs="Times New Roman"/>
          <w:b/>
        </w:rPr>
      </w:pPr>
      <w:r>
        <w:rPr>
          <w:rFonts w:ascii="Times New Roman" w:hAnsi="Times New Roman" w:cs="Times New Roman" w:hint="eastAsia"/>
          <w:b/>
        </w:rPr>
        <w:t>Table S</w:t>
      </w:r>
      <w:r>
        <w:rPr>
          <w:rFonts w:ascii="Times New Roman" w:hAnsi="Times New Roman" w:cs="Times New Roman" w:hint="eastAsia"/>
          <w:b/>
        </w:rPr>
        <w:t>5</w:t>
      </w:r>
      <w:r>
        <w:rPr>
          <w:rFonts w:ascii="Times New Roman" w:hAnsi="Times New Roman" w:cs="Times New Roman" w:hint="eastAsia"/>
          <w:b/>
        </w:rPr>
        <w:t xml:space="preserve"> Number and proportions of missing data as well as missingness patterns in the modeling process of Model 5</w:t>
      </w:r>
    </w:p>
    <w:p w14:paraId="30359D0E" w14:textId="77777777" w:rsidR="00060E59" w:rsidRDefault="00060E59">
      <w:pPr>
        <w:autoSpaceDE w:val="0"/>
        <w:autoSpaceDN w:val="0"/>
        <w:adjustRightInd w:val="0"/>
        <w:jc w:val="left"/>
        <w:rPr>
          <w:rFonts w:ascii="Times New Roman" w:hAnsi="Times New Roman" w:cs="Times New Roman"/>
          <w:b/>
        </w:rPr>
      </w:pPr>
    </w:p>
    <w:tbl>
      <w:tblPr>
        <w:tblW w:w="0" w:type="auto"/>
        <w:jc w:val="center"/>
        <w:tblLayout w:type="fixed"/>
        <w:tblCellMar>
          <w:left w:w="0" w:type="dxa"/>
          <w:right w:w="0" w:type="dxa"/>
        </w:tblCellMar>
        <w:tblLook w:val="04A0" w:firstRow="1" w:lastRow="0" w:firstColumn="1" w:lastColumn="0" w:noHBand="0" w:noVBand="1"/>
      </w:tblPr>
      <w:tblGrid>
        <w:gridCol w:w="850"/>
        <w:gridCol w:w="860"/>
        <w:gridCol w:w="860"/>
        <w:gridCol w:w="860"/>
        <w:gridCol w:w="860"/>
        <w:gridCol w:w="860"/>
        <w:gridCol w:w="860"/>
        <w:gridCol w:w="860"/>
        <w:gridCol w:w="860"/>
      </w:tblGrid>
      <w:tr w:rsidR="00060E59" w14:paraId="3E45C43D" w14:textId="77777777">
        <w:trPr>
          <w:cantSplit/>
          <w:tblHeader/>
          <w:jc w:val="center"/>
        </w:trPr>
        <w:tc>
          <w:tcPr>
            <w:tcW w:w="850" w:type="dxa"/>
            <w:tcBorders>
              <w:top w:val="single" w:sz="4" w:space="0" w:color="000000"/>
              <w:left w:val="nil"/>
              <w:bottom w:val="single" w:sz="4" w:space="0" w:color="000000"/>
              <w:right w:val="nil"/>
            </w:tcBorders>
            <w:shd w:val="clear" w:color="auto" w:fill="FFFFFF"/>
            <w:vAlign w:val="center"/>
          </w:tcPr>
          <w:p w14:paraId="50F70D33"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Pattern No.</w:t>
            </w:r>
          </w:p>
        </w:tc>
        <w:tc>
          <w:tcPr>
            <w:tcW w:w="860" w:type="dxa"/>
            <w:tcBorders>
              <w:top w:val="single" w:sz="4" w:space="0" w:color="000000"/>
              <w:left w:val="nil"/>
              <w:bottom w:val="single" w:sz="4" w:space="0" w:color="000000"/>
              <w:right w:val="nil"/>
            </w:tcBorders>
            <w:shd w:val="clear" w:color="auto" w:fill="FFFFFF"/>
            <w:vAlign w:val="center"/>
          </w:tcPr>
          <w:p w14:paraId="30C24E5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Gender</w:t>
            </w:r>
          </w:p>
        </w:tc>
        <w:tc>
          <w:tcPr>
            <w:tcW w:w="860" w:type="dxa"/>
            <w:tcBorders>
              <w:top w:val="single" w:sz="4" w:space="0" w:color="000000"/>
              <w:left w:val="nil"/>
              <w:bottom w:val="single" w:sz="4" w:space="0" w:color="000000"/>
              <w:right w:val="nil"/>
            </w:tcBorders>
            <w:shd w:val="clear" w:color="auto" w:fill="FFFFFF"/>
            <w:vAlign w:val="center"/>
          </w:tcPr>
          <w:p w14:paraId="29455B1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Age</w:t>
            </w:r>
            <w:r>
              <w:rPr>
                <w:rFonts w:ascii="Times New Roman" w:hAnsi="Times New Roman" w:cs="Times New Roman" w:hint="eastAsia"/>
                <w:color w:val="000000"/>
              </w:rPr>
              <w:br/>
              <w:t>(years)</w:t>
            </w:r>
          </w:p>
        </w:tc>
        <w:tc>
          <w:tcPr>
            <w:tcW w:w="860" w:type="dxa"/>
            <w:tcBorders>
              <w:top w:val="single" w:sz="4" w:space="0" w:color="000000"/>
              <w:left w:val="nil"/>
              <w:bottom w:val="single" w:sz="4" w:space="0" w:color="000000"/>
              <w:right w:val="nil"/>
            </w:tcBorders>
            <w:shd w:val="clear" w:color="auto" w:fill="FFFFFF"/>
            <w:vAlign w:val="center"/>
          </w:tcPr>
          <w:p w14:paraId="64C5681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LDL-C</w:t>
            </w:r>
          </w:p>
        </w:tc>
        <w:tc>
          <w:tcPr>
            <w:tcW w:w="860" w:type="dxa"/>
            <w:tcBorders>
              <w:top w:val="single" w:sz="4" w:space="0" w:color="000000"/>
              <w:left w:val="nil"/>
              <w:bottom w:val="single" w:sz="4" w:space="0" w:color="000000"/>
              <w:right w:val="nil"/>
            </w:tcBorders>
            <w:shd w:val="clear" w:color="auto" w:fill="FFFFFF"/>
            <w:vAlign w:val="center"/>
          </w:tcPr>
          <w:p w14:paraId="0437EEB0"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Diabetes</w:t>
            </w:r>
          </w:p>
        </w:tc>
        <w:tc>
          <w:tcPr>
            <w:tcW w:w="860" w:type="dxa"/>
            <w:tcBorders>
              <w:top w:val="single" w:sz="4" w:space="0" w:color="000000"/>
              <w:left w:val="nil"/>
              <w:bottom w:val="single" w:sz="4" w:space="0" w:color="000000"/>
              <w:right w:val="nil"/>
            </w:tcBorders>
            <w:shd w:val="clear" w:color="auto" w:fill="FFFFFF"/>
            <w:vAlign w:val="center"/>
          </w:tcPr>
          <w:p w14:paraId="70CC9AB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Current Smoking</w:t>
            </w:r>
          </w:p>
        </w:tc>
        <w:tc>
          <w:tcPr>
            <w:tcW w:w="860" w:type="dxa"/>
            <w:tcBorders>
              <w:top w:val="single" w:sz="4" w:space="0" w:color="000000"/>
              <w:left w:val="nil"/>
              <w:bottom w:val="single" w:sz="4" w:space="0" w:color="000000"/>
              <w:right w:val="nil"/>
            </w:tcBorders>
            <w:shd w:val="clear" w:color="auto" w:fill="FFFFFF"/>
            <w:vAlign w:val="center"/>
          </w:tcPr>
          <w:p w14:paraId="74587B4D"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eGFR</w:t>
            </w:r>
          </w:p>
        </w:tc>
        <w:tc>
          <w:tcPr>
            <w:tcW w:w="860" w:type="dxa"/>
            <w:tcBorders>
              <w:top w:val="single" w:sz="4" w:space="0" w:color="000000"/>
              <w:left w:val="nil"/>
              <w:bottom w:val="single" w:sz="4" w:space="0" w:color="000000"/>
              <w:right w:val="nil"/>
            </w:tcBorders>
            <w:shd w:val="clear" w:color="auto" w:fill="FFFFFF"/>
            <w:vAlign w:val="center"/>
          </w:tcPr>
          <w:p w14:paraId="017F3FE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No. of subjects with this missing pattern</w:t>
            </w:r>
          </w:p>
        </w:tc>
        <w:tc>
          <w:tcPr>
            <w:tcW w:w="860" w:type="dxa"/>
            <w:tcBorders>
              <w:top w:val="single" w:sz="4" w:space="0" w:color="000000"/>
              <w:left w:val="nil"/>
              <w:bottom w:val="single" w:sz="4" w:space="0" w:color="000000"/>
              <w:right w:val="nil"/>
            </w:tcBorders>
            <w:shd w:val="clear" w:color="auto" w:fill="FFFFFF"/>
            <w:vAlign w:val="center"/>
          </w:tcPr>
          <w:p w14:paraId="09C3F97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Proportion of subjects with this missing pattern</w:t>
            </w:r>
          </w:p>
        </w:tc>
      </w:tr>
      <w:tr w:rsidR="00060E59" w14:paraId="37450B3D" w14:textId="77777777">
        <w:trPr>
          <w:cantSplit/>
          <w:jc w:val="center"/>
        </w:trPr>
        <w:tc>
          <w:tcPr>
            <w:tcW w:w="850" w:type="dxa"/>
            <w:tcBorders>
              <w:top w:val="nil"/>
              <w:left w:val="nil"/>
              <w:bottom w:val="nil"/>
              <w:right w:val="nil"/>
            </w:tcBorders>
            <w:shd w:val="clear" w:color="auto" w:fill="FFFFFF"/>
            <w:vAlign w:val="center"/>
          </w:tcPr>
          <w:p w14:paraId="15862920"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1</w:t>
            </w:r>
          </w:p>
        </w:tc>
        <w:tc>
          <w:tcPr>
            <w:tcW w:w="860" w:type="dxa"/>
            <w:tcBorders>
              <w:top w:val="nil"/>
              <w:left w:val="nil"/>
              <w:bottom w:val="nil"/>
              <w:right w:val="nil"/>
            </w:tcBorders>
            <w:shd w:val="clear" w:color="auto" w:fill="FFFFFF"/>
            <w:vAlign w:val="center"/>
          </w:tcPr>
          <w:p w14:paraId="56E45B0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11853AC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F2C4A8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133979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534AB24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73A6196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46291C1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638</w:t>
            </w:r>
          </w:p>
        </w:tc>
        <w:tc>
          <w:tcPr>
            <w:tcW w:w="860" w:type="dxa"/>
            <w:tcBorders>
              <w:top w:val="nil"/>
              <w:left w:val="nil"/>
              <w:bottom w:val="nil"/>
              <w:right w:val="nil"/>
            </w:tcBorders>
            <w:shd w:val="clear" w:color="auto" w:fill="FFFFFF"/>
            <w:vAlign w:val="center"/>
          </w:tcPr>
          <w:p w14:paraId="3227ADD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91.93</w:t>
            </w:r>
          </w:p>
        </w:tc>
      </w:tr>
      <w:tr w:rsidR="00060E59" w14:paraId="700E37BD" w14:textId="77777777">
        <w:trPr>
          <w:cantSplit/>
          <w:jc w:val="center"/>
        </w:trPr>
        <w:tc>
          <w:tcPr>
            <w:tcW w:w="850" w:type="dxa"/>
            <w:tcBorders>
              <w:top w:val="nil"/>
              <w:left w:val="nil"/>
              <w:bottom w:val="nil"/>
              <w:right w:val="nil"/>
            </w:tcBorders>
            <w:shd w:val="clear" w:color="auto" w:fill="FFFFFF"/>
            <w:vAlign w:val="center"/>
          </w:tcPr>
          <w:p w14:paraId="6ECCFFD8"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2</w:t>
            </w:r>
          </w:p>
        </w:tc>
        <w:tc>
          <w:tcPr>
            <w:tcW w:w="860" w:type="dxa"/>
            <w:tcBorders>
              <w:top w:val="nil"/>
              <w:left w:val="nil"/>
              <w:bottom w:val="nil"/>
              <w:right w:val="nil"/>
            </w:tcBorders>
            <w:shd w:val="clear" w:color="auto" w:fill="FFFFFF"/>
            <w:vAlign w:val="center"/>
          </w:tcPr>
          <w:p w14:paraId="497FF5C2"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4D03E9B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A2A144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B59D3B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01C1C7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417C431D"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5727997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47</w:t>
            </w:r>
          </w:p>
        </w:tc>
        <w:tc>
          <w:tcPr>
            <w:tcW w:w="860" w:type="dxa"/>
            <w:tcBorders>
              <w:top w:val="nil"/>
              <w:left w:val="nil"/>
              <w:bottom w:val="nil"/>
              <w:right w:val="nil"/>
            </w:tcBorders>
            <w:shd w:val="clear" w:color="auto" w:fill="FFFFFF"/>
            <w:vAlign w:val="center"/>
          </w:tcPr>
          <w:p w14:paraId="2537FDB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6.77</w:t>
            </w:r>
          </w:p>
        </w:tc>
      </w:tr>
      <w:tr w:rsidR="00060E59" w14:paraId="598CCA2D" w14:textId="77777777">
        <w:trPr>
          <w:cantSplit/>
          <w:jc w:val="center"/>
        </w:trPr>
        <w:tc>
          <w:tcPr>
            <w:tcW w:w="850" w:type="dxa"/>
            <w:tcBorders>
              <w:top w:val="nil"/>
              <w:left w:val="nil"/>
              <w:bottom w:val="nil"/>
              <w:right w:val="nil"/>
            </w:tcBorders>
            <w:shd w:val="clear" w:color="auto" w:fill="FFFFFF"/>
            <w:vAlign w:val="center"/>
          </w:tcPr>
          <w:p w14:paraId="6C7D4611"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3</w:t>
            </w:r>
          </w:p>
        </w:tc>
        <w:tc>
          <w:tcPr>
            <w:tcW w:w="860" w:type="dxa"/>
            <w:tcBorders>
              <w:top w:val="nil"/>
              <w:left w:val="nil"/>
              <w:bottom w:val="nil"/>
              <w:right w:val="nil"/>
            </w:tcBorders>
            <w:shd w:val="clear" w:color="auto" w:fill="FFFFFF"/>
            <w:vAlign w:val="center"/>
          </w:tcPr>
          <w:p w14:paraId="1CF5F67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2FDB3B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79E41D9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F5006D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7C234FFA"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71C01CE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7221F07B"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1</w:t>
            </w:r>
          </w:p>
        </w:tc>
        <w:tc>
          <w:tcPr>
            <w:tcW w:w="860" w:type="dxa"/>
            <w:tcBorders>
              <w:top w:val="nil"/>
              <w:left w:val="nil"/>
              <w:bottom w:val="nil"/>
              <w:right w:val="nil"/>
            </w:tcBorders>
            <w:shd w:val="clear" w:color="auto" w:fill="FFFFFF"/>
            <w:vAlign w:val="center"/>
          </w:tcPr>
          <w:p w14:paraId="1B1396C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0.14</w:t>
            </w:r>
          </w:p>
        </w:tc>
      </w:tr>
      <w:tr w:rsidR="00060E59" w14:paraId="58C4982D" w14:textId="77777777">
        <w:trPr>
          <w:cantSplit/>
          <w:jc w:val="center"/>
        </w:trPr>
        <w:tc>
          <w:tcPr>
            <w:tcW w:w="850" w:type="dxa"/>
            <w:tcBorders>
              <w:top w:val="nil"/>
              <w:left w:val="nil"/>
              <w:bottom w:val="nil"/>
              <w:right w:val="nil"/>
            </w:tcBorders>
            <w:shd w:val="clear" w:color="auto" w:fill="FFFFFF"/>
            <w:vAlign w:val="center"/>
          </w:tcPr>
          <w:p w14:paraId="093517C9"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4</w:t>
            </w:r>
          </w:p>
        </w:tc>
        <w:tc>
          <w:tcPr>
            <w:tcW w:w="860" w:type="dxa"/>
            <w:tcBorders>
              <w:top w:val="nil"/>
              <w:left w:val="nil"/>
              <w:bottom w:val="nil"/>
              <w:right w:val="nil"/>
            </w:tcBorders>
            <w:shd w:val="clear" w:color="auto" w:fill="FFFFFF"/>
            <w:vAlign w:val="center"/>
          </w:tcPr>
          <w:p w14:paraId="54DE420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D97CF5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73FB5EA1"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0D6A2EB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3D8EEF6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2F843DB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7F400E0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2</w:t>
            </w:r>
          </w:p>
        </w:tc>
        <w:tc>
          <w:tcPr>
            <w:tcW w:w="860" w:type="dxa"/>
            <w:tcBorders>
              <w:top w:val="nil"/>
              <w:left w:val="nil"/>
              <w:bottom w:val="nil"/>
              <w:right w:val="nil"/>
            </w:tcBorders>
            <w:shd w:val="clear" w:color="auto" w:fill="FFFFFF"/>
            <w:vAlign w:val="center"/>
          </w:tcPr>
          <w:p w14:paraId="5768565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0.29</w:t>
            </w:r>
          </w:p>
        </w:tc>
      </w:tr>
      <w:tr w:rsidR="00060E59" w14:paraId="36784558" w14:textId="77777777">
        <w:trPr>
          <w:cantSplit/>
          <w:jc w:val="center"/>
        </w:trPr>
        <w:tc>
          <w:tcPr>
            <w:tcW w:w="850" w:type="dxa"/>
            <w:tcBorders>
              <w:top w:val="nil"/>
              <w:left w:val="nil"/>
              <w:bottom w:val="nil"/>
              <w:right w:val="nil"/>
            </w:tcBorders>
            <w:shd w:val="clear" w:color="auto" w:fill="FFFFFF"/>
            <w:vAlign w:val="center"/>
          </w:tcPr>
          <w:p w14:paraId="090ED104"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5</w:t>
            </w:r>
          </w:p>
        </w:tc>
        <w:tc>
          <w:tcPr>
            <w:tcW w:w="860" w:type="dxa"/>
            <w:tcBorders>
              <w:top w:val="nil"/>
              <w:left w:val="nil"/>
              <w:bottom w:val="nil"/>
              <w:right w:val="nil"/>
            </w:tcBorders>
            <w:shd w:val="clear" w:color="auto" w:fill="FFFFFF"/>
            <w:vAlign w:val="center"/>
          </w:tcPr>
          <w:p w14:paraId="187531B1"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2FFFF5B"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11F43EC5"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6218D6F1"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6DFAD169"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nil"/>
              <w:right w:val="nil"/>
            </w:tcBorders>
            <w:shd w:val="clear" w:color="auto" w:fill="FFFFFF"/>
            <w:vAlign w:val="center"/>
          </w:tcPr>
          <w:p w14:paraId="4A409EA2"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nil"/>
              <w:right w:val="nil"/>
            </w:tcBorders>
            <w:shd w:val="clear" w:color="auto" w:fill="FFFFFF"/>
            <w:vAlign w:val="center"/>
          </w:tcPr>
          <w:p w14:paraId="2C127F80"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3</w:t>
            </w:r>
          </w:p>
        </w:tc>
        <w:tc>
          <w:tcPr>
            <w:tcW w:w="860" w:type="dxa"/>
            <w:tcBorders>
              <w:top w:val="nil"/>
              <w:left w:val="nil"/>
              <w:bottom w:val="nil"/>
              <w:right w:val="nil"/>
            </w:tcBorders>
            <w:shd w:val="clear" w:color="auto" w:fill="FFFFFF"/>
            <w:vAlign w:val="center"/>
          </w:tcPr>
          <w:p w14:paraId="5CB2126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0.43</w:t>
            </w:r>
          </w:p>
        </w:tc>
      </w:tr>
      <w:tr w:rsidR="00060E59" w14:paraId="7C07F524" w14:textId="77777777">
        <w:trPr>
          <w:cantSplit/>
          <w:jc w:val="center"/>
        </w:trPr>
        <w:tc>
          <w:tcPr>
            <w:tcW w:w="850" w:type="dxa"/>
            <w:tcBorders>
              <w:top w:val="nil"/>
              <w:left w:val="nil"/>
              <w:right w:val="nil"/>
            </w:tcBorders>
            <w:shd w:val="clear" w:color="auto" w:fill="FFFFFF"/>
            <w:vAlign w:val="center"/>
          </w:tcPr>
          <w:p w14:paraId="3F091198"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6</w:t>
            </w:r>
          </w:p>
        </w:tc>
        <w:tc>
          <w:tcPr>
            <w:tcW w:w="860" w:type="dxa"/>
            <w:tcBorders>
              <w:top w:val="nil"/>
              <w:left w:val="nil"/>
              <w:right w:val="nil"/>
            </w:tcBorders>
            <w:shd w:val="clear" w:color="auto" w:fill="FFFFFF"/>
            <w:vAlign w:val="center"/>
          </w:tcPr>
          <w:p w14:paraId="59F4B8C7"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right w:val="nil"/>
            </w:tcBorders>
            <w:shd w:val="clear" w:color="auto" w:fill="FFFFFF"/>
            <w:vAlign w:val="center"/>
          </w:tcPr>
          <w:p w14:paraId="1C618BDA"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right w:val="nil"/>
            </w:tcBorders>
            <w:shd w:val="clear" w:color="auto" w:fill="FFFFFF"/>
            <w:vAlign w:val="center"/>
          </w:tcPr>
          <w:p w14:paraId="653EF0B3"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right w:val="nil"/>
            </w:tcBorders>
            <w:shd w:val="clear" w:color="auto" w:fill="FFFFFF"/>
            <w:vAlign w:val="center"/>
          </w:tcPr>
          <w:p w14:paraId="3AA5004F"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right w:val="nil"/>
            </w:tcBorders>
            <w:shd w:val="clear" w:color="auto" w:fill="FFFFFF"/>
            <w:vAlign w:val="center"/>
          </w:tcPr>
          <w:p w14:paraId="6709A52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right w:val="nil"/>
            </w:tcBorders>
            <w:shd w:val="clear" w:color="auto" w:fill="FFFFFF"/>
            <w:vAlign w:val="center"/>
          </w:tcPr>
          <w:p w14:paraId="7811837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right w:val="nil"/>
            </w:tcBorders>
            <w:shd w:val="clear" w:color="auto" w:fill="FFFFFF"/>
            <w:vAlign w:val="center"/>
          </w:tcPr>
          <w:p w14:paraId="52ED2BD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1</w:t>
            </w:r>
          </w:p>
        </w:tc>
        <w:tc>
          <w:tcPr>
            <w:tcW w:w="860" w:type="dxa"/>
            <w:tcBorders>
              <w:top w:val="nil"/>
              <w:left w:val="nil"/>
              <w:right w:val="nil"/>
            </w:tcBorders>
            <w:shd w:val="clear" w:color="auto" w:fill="FFFFFF"/>
            <w:vAlign w:val="center"/>
          </w:tcPr>
          <w:p w14:paraId="6FB7DF8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0.14</w:t>
            </w:r>
          </w:p>
        </w:tc>
      </w:tr>
      <w:tr w:rsidR="00060E59" w14:paraId="7B151555" w14:textId="77777777">
        <w:trPr>
          <w:cantSplit/>
          <w:jc w:val="center"/>
        </w:trPr>
        <w:tc>
          <w:tcPr>
            <w:tcW w:w="850" w:type="dxa"/>
            <w:tcBorders>
              <w:top w:val="nil"/>
              <w:left w:val="nil"/>
              <w:bottom w:val="single" w:sz="4" w:space="0" w:color="auto"/>
              <w:right w:val="nil"/>
            </w:tcBorders>
            <w:shd w:val="clear" w:color="auto" w:fill="FFFFFF"/>
            <w:vAlign w:val="center"/>
          </w:tcPr>
          <w:p w14:paraId="58546CDF" w14:textId="77777777" w:rsidR="00060E59" w:rsidRDefault="00682037">
            <w:pPr>
              <w:adjustRightInd w:val="0"/>
              <w:rPr>
                <w:rFonts w:ascii="Times New Roman" w:hAnsi="Times New Roman" w:cs="Times New Roman"/>
                <w:color w:val="000000"/>
              </w:rPr>
            </w:pPr>
            <w:r>
              <w:rPr>
                <w:rFonts w:ascii="Times New Roman" w:hAnsi="Times New Roman" w:cs="Times New Roman" w:hint="eastAsia"/>
                <w:color w:val="000000"/>
              </w:rPr>
              <w:t>7</w:t>
            </w:r>
          </w:p>
        </w:tc>
        <w:tc>
          <w:tcPr>
            <w:tcW w:w="860" w:type="dxa"/>
            <w:tcBorders>
              <w:top w:val="nil"/>
              <w:left w:val="nil"/>
              <w:bottom w:val="single" w:sz="4" w:space="0" w:color="auto"/>
              <w:right w:val="nil"/>
            </w:tcBorders>
            <w:shd w:val="clear" w:color="auto" w:fill="FFFFFF"/>
            <w:vAlign w:val="center"/>
          </w:tcPr>
          <w:p w14:paraId="39E19E8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single" w:sz="4" w:space="0" w:color="auto"/>
              <w:right w:val="nil"/>
            </w:tcBorders>
            <w:shd w:val="clear" w:color="auto" w:fill="FFFFFF"/>
            <w:vAlign w:val="center"/>
          </w:tcPr>
          <w:p w14:paraId="1F8B49A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single" w:sz="4" w:space="0" w:color="auto"/>
              <w:right w:val="nil"/>
            </w:tcBorders>
            <w:shd w:val="clear" w:color="auto" w:fill="FFFFFF"/>
            <w:vAlign w:val="center"/>
          </w:tcPr>
          <w:p w14:paraId="3D9576BE"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single" w:sz="4" w:space="0" w:color="auto"/>
              <w:right w:val="nil"/>
            </w:tcBorders>
            <w:shd w:val="clear" w:color="auto" w:fill="FFFFFF"/>
            <w:vAlign w:val="center"/>
          </w:tcPr>
          <w:p w14:paraId="29F92028"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w:t>
            </w:r>
          </w:p>
        </w:tc>
        <w:tc>
          <w:tcPr>
            <w:tcW w:w="860" w:type="dxa"/>
            <w:tcBorders>
              <w:top w:val="nil"/>
              <w:left w:val="nil"/>
              <w:bottom w:val="single" w:sz="4" w:space="0" w:color="auto"/>
              <w:right w:val="nil"/>
            </w:tcBorders>
            <w:shd w:val="clear" w:color="auto" w:fill="FFFFFF"/>
            <w:vAlign w:val="center"/>
          </w:tcPr>
          <w:p w14:paraId="55535CCC"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single" w:sz="4" w:space="0" w:color="auto"/>
              <w:right w:val="nil"/>
            </w:tcBorders>
            <w:shd w:val="clear" w:color="auto" w:fill="FFFFFF"/>
            <w:vAlign w:val="center"/>
          </w:tcPr>
          <w:p w14:paraId="7A1BD5C6"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X</w:t>
            </w:r>
          </w:p>
        </w:tc>
        <w:tc>
          <w:tcPr>
            <w:tcW w:w="860" w:type="dxa"/>
            <w:tcBorders>
              <w:top w:val="nil"/>
              <w:left w:val="nil"/>
              <w:bottom w:val="single" w:sz="4" w:space="0" w:color="auto"/>
              <w:right w:val="nil"/>
            </w:tcBorders>
            <w:shd w:val="clear" w:color="auto" w:fill="FFFFFF"/>
            <w:vAlign w:val="center"/>
          </w:tcPr>
          <w:p w14:paraId="18E4FAB4"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2</w:t>
            </w:r>
          </w:p>
        </w:tc>
        <w:tc>
          <w:tcPr>
            <w:tcW w:w="860" w:type="dxa"/>
            <w:tcBorders>
              <w:top w:val="nil"/>
              <w:left w:val="nil"/>
              <w:bottom w:val="single" w:sz="4" w:space="0" w:color="auto"/>
              <w:right w:val="nil"/>
            </w:tcBorders>
            <w:shd w:val="clear" w:color="auto" w:fill="FFFFFF"/>
            <w:vAlign w:val="center"/>
          </w:tcPr>
          <w:p w14:paraId="237282EA" w14:textId="77777777" w:rsidR="00060E59" w:rsidRDefault="00682037">
            <w:pPr>
              <w:adjustRightInd w:val="0"/>
              <w:jc w:val="center"/>
              <w:rPr>
                <w:rFonts w:ascii="Times New Roman" w:hAnsi="Times New Roman" w:cs="Times New Roman"/>
                <w:color w:val="000000"/>
              </w:rPr>
            </w:pPr>
            <w:r>
              <w:rPr>
                <w:rFonts w:ascii="Times New Roman" w:hAnsi="Times New Roman" w:cs="Times New Roman" w:hint="eastAsia"/>
                <w:color w:val="000000"/>
              </w:rPr>
              <w:t>0.29</w:t>
            </w:r>
          </w:p>
        </w:tc>
      </w:tr>
    </w:tbl>
    <w:p w14:paraId="4A8376EC" w14:textId="77777777" w:rsidR="00060E59" w:rsidRDefault="00060E59">
      <w:pPr>
        <w:autoSpaceDE w:val="0"/>
        <w:autoSpaceDN w:val="0"/>
        <w:adjustRightInd w:val="0"/>
        <w:jc w:val="left"/>
        <w:rPr>
          <w:rFonts w:ascii="Times New Roman" w:hAnsi="Times New Roman" w:cs="Times New Roman"/>
        </w:rPr>
      </w:pPr>
    </w:p>
    <w:p w14:paraId="3076260F" w14:textId="77777777" w:rsidR="00060E59" w:rsidRDefault="00060E59">
      <w:pPr>
        <w:autoSpaceDE w:val="0"/>
        <w:autoSpaceDN w:val="0"/>
        <w:adjustRightInd w:val="0"/>
        <w:jc w:val="left"/>
        <w:rPr>
          <w:rFonts w:ascii="Times New Roman" w:hAnsi="Times New Roman" w:cs="Times New Roman"/>
        </w:rPr>
      </w:pPr>
    </w:p>
    <w:p w14:paraId="3F9EDD9F" w14:textId="77777777" w:rsidR="00060E59" w:rsidRDefault="00682037">
      <w:pPr>
        <w:autoSpaceDE w:val="0"/>
        <w:autoSpaceDN w:val="0"/>
        <w:adjustRightInd w:val="0"/>
        <w:jc w:val="left"/>
        <w:rPr>
          <w:rFonts w:ascii="Times New Roman" w:hAnsi="Times New Roman" w:cs="Times New Roman"/>
        </w:rPr>
      </w:pPr>
      <w:r>
        <w:rPr>
          <w:rFonts w:ascii="Times New Roman" w:hAnsi="Times New Roman" w:cs="Times New Roman" w:hint="eastAsia"/>
        </w:rPr>
        <w:t xml:space="preserve">Notes: A tick in the cell represents that the corresponding variable is not missing while a cross represents the otherwise. Abbreviation: eGFR: estimated glomerular filtration rate, HDL-C: high-density </w:t>
      </w:r>
      <w:r>
        <w:rPr>
          <w:rFonts w:ascii="Times New Roman" w:hAnsi="Times New Roman" w:cs="Times New Roman" w:hint="eastAsia"/>
        </w:rPr>
        <w:t>lipoprotein cholesterol, LDL-C: low-density lipoprotein cholesterol, No.: number.</w:t>
      </w:r>
    </w:p>
    <w:p w14:paraId="1FE0F14A" w14:textId="77777777" w:rsidR="00060E59" w:rsidRDefault="00060E59">
      <w:pPr>
        <w:autoSpaceDE w:val="0"/>
        <w:autoSpaceDN w:val="0"/>
        <w:adjustRightInd w:val="0"/>
        <w:jc w:val="left"/>
      </w:pPr>
    </w:p>
    <w:p w14:paraId="2ACE0EA2" w14:textId="77777777" w:rsidR="00060E59" w:rsidRDefault="00682037">
      <w:pPr>
        <w:autoSpaceDE w:val="0"/>
        <w:autoSpaceDN w:val="0"/>
        <w:adjustRightInd w:val="0"/>
        <w:jc w:val="left"/>
        <w:rPr>
          <w:rFonts w:ascii="Times New Roman" w:hAnsi="Times New Roman" w:cs="Times New Roman"/>
          <w:kern w:val="0"/>
          <w:sz w:val="24"/>
          <w:szCs w:val="24"/>
        </w:rPr>
      </w:pPr>
      <w:r>
        <w:rPr>
          <w:rFonts w:hint="eastAsia"/>
        </w:rPr>
        <w:fldChar w:fldCharType="begin"/>
      </w:r>
      <w:r>
        <w:rPr>
          <w:rFonts w:hint="eastAsia"/>
        </w:rPr>
        <w:instrText xml:space="preserve"> ADDIN NE.Bib</w:instrText>
      </w:r>
      <w:r>
        <w:rPr>
          <w:rFonts w:hint="eastAsia"/>
        </w:rPr>
        <w:fldChar w:fldCharType="separate"/>
      </w:r>
    </w:p>
    <w:p w14:paraId="3E1422C3" w14:textId="77777777" w:rsidR="00060E59" w:rsidRDefault="00682037">
      <w:pPr>
        <w:autoSpaceDE w:val="0"/>
        <w:autoSpaceDN w:val="0"/>
        <w:adjustRightInd w:val="0"/>
        <w:jc w:val="left"/>
        <w:rPr>
          <w:rFonts w:ascii="Times New Roman" w:hAnsi="Times New Roman" w:cs="Times New Roman"/>
          <w:kern w:val="0"/>
          <w:sz w:val="24"/>
          <w:szCs w:val="24"/>
        </w:rPr>
      </w:pPr>
      <w:r>
        <w:rPr>
          <w:rFonts w:ascii="Times New Roman" w:hAnsi="Times New Roman" w:cs="Times New Roman"/>
          <w:b/>
          <w:bCs/>
          <w:color w:val="000000"/>
          <w:kern w:val="0"/>
          <w:sz w:val="20"/>
          <w:szCs w:val="20"/>
        </w:rPr>
        <w:t>References:</w:t>
      </w:r>
    </w:p>
    <w:p w14:paraId="25865860"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 [1] </w:t>
      </w:r>
      <w:bookmarkStart w:id="5" w:name="_nebD918C8B7_60B9_42F5_BD67_AF53ACC9CF4F"/>
      <w:r>
        <w:rPr>
          <w:rFonts w:ascii="Times New Roman" w:hAnsi="Times New Roman" w:cs="Times New Roman"/>
          <w:color w:val="000000"/>
          <w:kern w:val="0"/>
          <w:sz w:val="20"/>
          <w:szCs w:val="20"/>
        </w:rPr>
        <w:t>Finn AV, Coronary Calcium: A Comprehensive Understanding of Its Biology, Use in Screening, and Interventional Management, 1 ed., Elsevier Scie</w:t>
      </w:r>
      <w:r>
        <w:rPr>
          <w:rFonts w:ascii="Times New Roman" w:hAnsi="Times New Roman" w:cs="Times New Roman"/>
          <w:color w:val="000000"/>
          <w:kern w:val="0"/>
          <w:sz w:val="20"/>
          <w:szCs w:val="20"/>
        </w:rPr>
        <w:t>nce &amp; Technology, Amsterdam, Netherlands, 2019.</w:t>
      </w:r>
      <w:bookmarkEnd w:id="5"/>
    </w:p>
    <w:p w14:paraId="2DF923EE"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 [2] </w:t>
      </w:r>
      <w:bookmarkStart w:id="6" w:name="_nebFCB2957E_E152_487E_805B_69FC816DAEED"/>
      <w:r>
        <w:rPr>
          <w:rFonts w:ascii="Times New Roman" w:hAnsi="Times New Roman" w:cs="Times New Roman"/>
          <w:color w:val="000000"/>
          <w:kern w:val="0"/>
          <w:sz w:val="20"/>
          <w:szCs w:val="20"/>
        </w:rPr>
        <w:t>Demer LL, Tintut Y, Inflammatory, metabolic, and genetic mechanisms of vascular calcification, ARTERIOSCLEROSIS THROMBOSIS AND VASCULAR BIOLOGY, 34 (2014) 715-723.</w:t>
      </w:r>
      <w:bookmarkEnd w:id="6"/>
    </w:p>
    <w:p w14:paraId="49E43F1F"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 [3] </w:t>
      </w:r>
      <w:bookmarkStart w:id="7" w:name="_neb4A217A68_CCB2_4E7B_AF5D_C6DFA5E7809C"/>
      <w:r>
        <w:rPr>
          <w:rFonts w:ascii="Times New Roman" w:hAnsi="Times New Roman" w:cs="Times New Roman"/>
          <w:color w:val="000000"/>
          <w:kern w:val="0"/>
          <w:sz w:val="20"/>
          <w:szCs w:val="20"/>
        </w:rPr>
        <w:t>Wexler L, Brundage B, Crouse J, De</w:t>
      </w:r>
      <w:r>
        <w:rPr>
          <w:rFonts w:ascii="Times New Roman" w:hAnsi="Times New Roman" w:cs="Times New Roman"/>
          <w:color w:val="000000"/>
          <w:kern w:val="0"/>
          <w:sz w:val="20"/>
          <w:szCs w:val="20"/>
        </w:rPr>
        <w:t xml:space="preserve">trano R, Fuster V, Maddahi J, et al., Coronary artery calcification: pathophysiology, epidemiology, imaging methods, and clinical implications. A statement for health professionals from the American Heart Association. Writing Group, CIRCULATION, 94 (1996) </w:t>
      </w:r>
      <w:r>
        <w:rPr>
          <w:rFonts w:ascii="Times New Roman" w:hAnsi="Times New Roman" w:cs="Times New Roman"/>
          <w:color w:val="000000"/>
          <w:kern w:val="0"/>
          <w:sz w:val="20"/>
          <w:szCs w:val="20"/>
        </w:rPr>
        <w:t>1175-1192.</w:t>
      </w:r>
      <w:bookmarkEnd w:id="7"/>
    </w:p>
    <w:p w14:paraId="5456640C"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 [4] </w:t>
      </w:r>
      <w:bookmarkStart w:id="8" w:name="_neb56398AB6_4F16_44F1_A225_74E63DD548D3"/>
      <w:r>
        <w:rPr>
          <w:rFonts w:ascii="Times New Roman" w:hAnsi="Times New Roman" w:cs="Times New Roman"/>
          <w:color w:val="000000"/>
          <w:kern w:val="0"/>
          <w:sz w:val="20"/>
          <w:szCs w:val="20"/>
        </w:rPr>
        <w:t>Nakamura S, Ishibashi-Ueda H, Niizuma S, Yoshihara F, Horio T, Kawano Y, Coronary calcification in patients with chronic kidney disease and coronary artery disease, Clinical Journal of the American Society of Nephrology, 4 (2009) 1892-1900.</w:t>
      </w:r>
      <w:bookmarkEnd w:id="8"/>
    </w:p>
    <w:p w14:paraId="11490DC2"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 [5] </w:t>
      </w:r>
      <w:bookmarkStart w:id="9" w:name="_neb89DEAD69_FFB6_4013_BC8A_CCE34C6B233D"/>
      <w:r>
        <w:rPr>
          <w:rFonts w:ascii="Times New Roman" w:hAnsi="Times New Roman" w:cs="Times New Roman"/>
          <w:color w:val="000000"/>
          <w:kern w:val="0"/>
          <w:sz w:val="20"/>
          <w:szCs w:val="20"/>
        </w:rPr>
        <w:t>Starkman HS, Cable G, Hala V, Hecht H, Donnelly CM, Delineation of prevalence and risk factors for early coronary artery disease by electron beam computed tomography in young adults with type 1 diabetes, DIABETES CARE, 26 (2003) 433-436.</w:t>
      </w:r>
      <w:bookmarkEnd w:id="9"/>
    </w:p>
    <w:p w14:paraId="3AA18672"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 [6] </w:t>
      </w:r>
      <w:bookmarkStart w:id="10" w:name="_neb32538A04_97D9_4EB1_A296_73712ABF5885"/>
      <w:r>
        <w:rPr>
          <w:rFonts w:ascii="Times New Roman" w:hAnsi="Times New Roman" w:cs="Times New Roman"/>
          <w:color w:val="000000"/>
          <w:kern w:val="0"/>
          <w:sz w:val="20"/>
          <w:szCs w:val="20"/>
        </w:rPr>
        <w:t>Kamensk</w:t>
      </w:r>
      <w:r>
        <w:rPr>
          <w:rFonts w:ascii="Times New Roman" w:hAnsi="Times New Roman" w:cs="Times New Roman"/>
          <w:color w:val="000000"/>
          <w:kern w:val="0"/>
          <w:sz w:val="20"/>
          <w:szCs w:val="20"/>
        </w:rPr>
        <w:t>iy A, Poulson W, Sim S, Reilly A, Luo J, MacTaggart J, Prevalence of Calcification in Human Femoropopliteal Arteries and its Association with Demographics, Risk Factors, and Arterial Stiffness, ARTERIOSCLEROSIS THROMBOSIS AND VASCULAR BIOLOGY, 38 (2018) e4</w:t>
      </w:r>
      <w:r>
        <w:rPr>
          <w:rFonts w:ascii="Times New Roman" w:hAnsi="Times New Roman" w:cs="Times New Roman"/>
          <w:color w:val="000000"/>
          <w:kern w:val="0"/>
          <w:sz w:val="20"/>
          <w:szCs w:val="20"/>
        </w:rPr>
        <w:t>8-e57.</w:t>
      </w:r>
      <w:bookmarkEnd w:id="10"/>
    </w:p>
    <w:p w14:paraId="61AF9B61"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 [7] </w:t>
      </w:r>
      <w:bookmarkStart w:id="11" w:name="_neb87D4CE21_5DF4_4FCE_9BF2_9C2FDCD0657A"/>
      <w:r>
        <w:rPr>
          <w:rFonts w:ascii="Times New Roman" w:hAnsi="Times New Roman" w:cs="Times New Roman"/>
          <w:color w:val="000000"/>
          <w:kern w:val="0"/>
          <w:sz w:val="20"/>
          <w:szCs w:val="20"/>
        </w:rPr>
        <w:t xml:space="preserve">Janssen T, Bannas P, Herrmann J, Veldhoen S, Busch JD, Treszl A, et al., Association of linear ¹⁸F-sodium fluoride accumulation in femoral arteries as a measure of diffuse calcification with cardiovascular risk factors: a PET/CT study, JOURNAL </w:t>
      </w:r>
      <w:r>
        <w:rPr>
          <w:rFonts w:ascii="Times New Roman" w:hAnsi="Times New Roman" w:cs="Times New Roman"/>
          <w:color w:val="000000"/>
          <w:kern w:val="0"/>
          <w:sz w:val="20"/>
          <w:szCs w:val="20"/>
        </w:rPr>
        <w:t>OF NUCLEAR CARDIOLOGY, 20 (2013) 569-577.</w:t>
      </w:r>
      <w:bookmarkEnd w:id="11"/>
    </w:p>
    <w:p w14:paraId="28E8BB85"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 [8] </w:t>
      </w:r>
      <w:bookmarkStart w:id="12" w:name="_neb3DC95FE9_A0D8_4526_BA8D_ACF93327C669"/>
      <w:r>
        <w:rPr>
          <w:rFonts w:ascii="Times New Roman" w:hAnsi="Times New Roman" w:cs="Times New Roman"/>
          <w:color w:val="000000"/>
          <w:kern w:val="0"/>
          <w:sz w:val="20"/>
          <w:szCs w:val="20"/>
        </w:rPr>
        <w:t>Derlin T, Tóth Z, Papp L, Wisotzki C, Apostolova I, Habermann CR, et al., Correlation of inflammation assessed by 18F-FDG PET, active mineral deposition assessed by 18F-fluoride PET, and vascular calcification</w:t>
      </w:r>
      <w:r>
        <w:rPr>
          <w:rFonts w:ascii="Times New Roman" w:hAnsi="Times New Roman" w:cs="Times New Roman"/>
          <w:color w:val="000000"/>
          <w:kern w:val="0"/>
          <w:sz w:val="20"/>
          <w:szCs w:val="20"/>
        </w:rPr>
        <w:t xml:space="preserve"> in atherosclerotic plaque: a dual-tracer PET/CT study, JOURNAL OF NUCLEAR MEDICINE, 52 (2011) 1020-1027.</w:t>
      </w:r>
      <w:bookmarkEnd w:id="12"/>
    </w:p>
    <w:p w14:paraId="036EAAA5"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 [9] </w:t>
      </w:r>
      <w:bookmarkStart w:id="13" w:name="_neb8F1894C5_5B96_43B1_9DED_E214015C0674"/>
      <w:r>
        <w:rPr>
          <w:rFonts w:ascii="Times New Roman" w:hAnsi="Times New Roman" w:cs="Times New Roman"/>
          <w:color w:val="000000"/>
          <w:kern w:val="0"/>
          <w:sz w:val="20"/>
          <w:szCs w:val="20"/>
        </w:rPr>
        <w:t xml:space="preserve">Castagna MT, Mintz GS, Ohlmann P, Kotani J, Maehara A, Gevorkian N, et al., Incidence, location, magnitude, and clinical correlates of saphenous </w:t>
      </w:r>
      <w:r>
        <w:rPr>
          <w:rFonts w:ascii="Times New Roman" w:hAnsi="Times New Roman" w:cs="Times New Roman"/>
          <w:color w:val="000000"/>
          <w:kern w:val="0"/>
          <w:sz w:val="20"/>
          <w:szCs w:val="20"/>
        </w:rPr>
        <w:t>vein graft calcification: an intravascular ultrasound and angiographic study, CIRCULATION, 111 (2005) 1148-1152.</w:t>
      </w:r>
      <w:bookmarkEnd w:id="13"/>
    </w:p>
    <w:p w14:paraId="479540CD"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[10] </w:t>
      </w:r>
      <w:bookmarkStart w:id="14" w:name="_neb28FDF4F1_CDBA_462F_BA40_18F7918022AC"/>
      <w:r>
        <w:rPr>
          <w:rFonts w:ascii="Times New Roman" w:hAnsi="Times New Roman" w:cs="Times New Roman"/>
          <w:color w:val="000000"/>
          <w:kern w:val="0"/>
          <w:sz w:val="20"/>
          <w:szCs w:val="20"/>
        </w:rPr>
        <w:t xml:space="preserve">Jadidi M, Poulson W, Aylward P, MacTaggart J, Sanderfer C, Marmie B, et al., Calcification prevalence in different vascular zones and its </w:t>
      </w:r>
      <w:r>
        <w:rPr>
          <w:rFonts w:ascii="Times New Roman" w:hAnsi="Times New Roman" w:cs="Times New Roman"/>
          <w:color w:val="000000"/>
          <w:kern w:val="0"/>
          <w:sz w:val="20"/>
          <w:szCs w:val="20"/>
        </w:rPr>
        <w:t>association with demographics, risk factors, and morphometry, AMERICAN JOURNAL OF PHYSIOLOGY-HEART AND CIRCULATORY PHYSIOLOGY, 320 (2021) H2313-H2323.</w:t>
      </w:r>
      <w:bookmarkEnd w:id="14"/>
    </w:p>
    <w:p w14:paraId="43E3CF8A"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[11] </w:t>
      </w:r>
      <w:bookmarkStart w:id="15" w:name="_neb45E29BCD_BA1D_44FF_8274_C2D917A2BD1B"/>
      <w:r>
        <w:rPr>
          <w:rFonts w:ascii="Times New Roman" w:hAnsi="Times New Roman" w:cs="Times New Roman"/>
          <w:color w:val="000000"/>
          <w:kern w:val="0"/>
          <w:sz w:val="20"/>
          <w:szCs w:val="20"/>
        </w:rPr>
        <w:t>Hisamatsu T, Miura K, Arima H, Kadota A, Kadowaki S, Torii S, et al., Smoking, Smoking Cessation, an</w:t>
      </w:r>
      <w:r>
        <w:rPr>
          <w:rFonts w:ascii="Times New Roman" w:hAnsi="Times New Roman" w:cs="Times New Roman"/>
          <w:color w:val="000000"/>
          <w:kern w:val="0"/>
          <w:sz w:val="20"/>
          <w:szCs w:val="20"/>
        </w:rPr>
        <w:t>d Measures of Subclinical Atherosclerosis in Multiple Vascular Beds in Japanese Men, Journal of the American Heart Association, 5 (2016) e003738.</w:t>
      </w:r>
      <w:bookmarkEnd w:id="15"/>
    </w:p>
    <w:p w14:paraId="159DBD86"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[12] </w:t>
      </w:r>
      <w:bookmarkStart w:id="16" w:name="_neb4BBE5833_A0F4_4809_B3BA_A55EE0958CBF"/>
      <w:r>
        <w:rPr>
          <w:rFonts w:ascii="Times New Roman" w:hAnsi="Times New Roman" w:cs="Times New Roman"/>
          <w:color w:val="000000"/>
          <w:kern w:val="0"/>
          <w:sz w:val="20"/>
          <w:szCs w:val="20"/>
        </w:rPr>
        <w:t xml:space="preserve">Libby P, Inflammation in atherosclerosis, ARTERIOSCLEROSIS THROMBOSIS AND VASCULAR BIOLOGY, 32 (2012) </w:t>
      </w:r>
      <w:r>
        <w:rPr>
          <w:rFonts w:ascii="Times New Roman" w:hAnsi="Times New Roman" w:cs="Times New Roman"/>
          <w:color w:val="000000"/>
          <w:kern w:val="0"/>
          <w:sz w:val="20"/>
          <w:szCs w:val="20"/>
        </w:rPr>
        <w:t>2045-2051.</w:t>
      </w:r>
      <w:bookmarkEnd w:id="16"/>
    </w:p>
    <w:p w14:paraId="5F7C6FBB"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[13] </w:t>
      </w:r>
      <w:bookmarkStart w:id="17" w:name="_nebC546C017_FE3E_4B42_8B0A_6AC2A9E10F1D"/>
      <w:r>
        <w:rPr>
          <w:rFonts w:ascii="Times New Roman" w:hAnsi="Times New Roman" w:cs="Times New Roman"/>
          <w:color w:val="000000"/>
          <w:kern w:val="0"/>
          <w:sz w:val="20"/>
          <w:szCs w:val="20"/>
        </w:rPr>
        <w:t>Henein M, Cardiovascular Calcification, 1 ed., Springer, Cham, Switzerland, 2021.</w:t>
      </w:r>
      <w:bookmarkEnd w:id="17"/>
    </w:p>
    <w:p w14:paraId="43D73FA9"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[14] </w:t>
      </w:r>
      <w:bookmarkStart w:id="18" w:name="_neb9EB387F3_66BE_4AD3_9A10_DDA967D6F4A6"/>
      <w:r>
        <w:rPr>
          <w:rFonts w:ascii="Times New Roman" w:hAnsi="Times New Roman" w:cs="Times New Roman"/>
          <w:color w:val="000000"/>
          <w:kern w:val="0"/>
          <w:sz w:val="20"/>
          <w:szCs w:val="20"/>
        </w:rPr>
        <w:t>Hao QY, Gao JW, Yuan ZM, Gao M, Wang JF, Schiele F, et al., Remnant Cholesterol and the Risk of Coronary Artery Calcium Progression: Insights From the CA</w:t>
      </w:r>
      <w:r>
        <w:rPr>
          <w:rFonts w:ascii="Times New Roman" w:hAnsi="Times New Roman" w:cs="Times New Roman"/>
          <w:color w:val="000000"/>
          <w:kern w:val="0"/>
          <w:sz w:val="20"/>
          <w:szCs w:val="20"/>
        </w:rPr>
        <w:t>RDIA and MESA Study, Circulation-Cardiovascular Imaging, 15 (2022) e014116.</w:t>
      </w:r>
      <w:bookmarkEnd w:id="18"/>
    </w:p>
    <w:p w14:paraId="33B2115C"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lastRenderedPageBreak/>
        <w:t xml:space="preserve">[15] </w:t>
      </w:r>
      <w:bookmarkStart w:id="19" w:name="_neb5338EAFC_1D70_4A84_AA66_6DDC917FFCE1"/>
      <w:r>
        <w:rPr>
          <w:rFonts w:ascii="Times New Roman" w:hAnsi="Times New Roman" w:cs="Times New Roman"/>
          <w:color w:val="000000"/>
          <w:kern w:val="0"/>
          <w:sz w:val="20"/>
          <w:szCs w:val="20"/>
        </w:rPr>
        <w:t>Mortensen MB, Falk E, Li D, Nasir K, Blaha MJ, Sandfort V, et al., Statin Trials, Cardiovascular Events, and Coronary Artery Calcification: Implications for a Trial-Based Appr</w:t>
      </w:r>
      <w:r>
        <w:rPr>
          <w:rFonts w:ascii="Times New Roman" w:hAnsi="Times New Roman" w:cs="Times New Roman"/>
          <w:color w:val="000000"/>
          <w:kern w:val="0"/>
          <w:sz w:val="20"/>
          <w:szCs w:val="20"/>
        </w:rPr>
        <w:t>oach to Statin Therapy in MESA, JACC-Cardiovascular Imaging, 11 (2018) 221-230.</w:t>
      </w:r>
      <w:bookmarkEnd w:id="19"/>
    </w:p>
    <w:p w14:paraId="5150BD87"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[16] </w:t>
      </w:r>
      <w:bookmarkStart w:id="20" w:name="_neb99D457DD_F12B_4007_98C7_562DFB2C886D"/>
      <w:r>
        <w:rPr>
          <w:rFonts w:ascii="Times New Roman" w:hAnsi="Times New Roman" w:cs="Times New Roman"/>
          <w:color w:val="000000"/>
          <w:kern w:val="0"/>
          <w:sz w:val="20"/>
          <w:szCs w:val="20"/>
        </w:rPr>
        <w:t>Hong SP, Kim CY, Jung HW, The Comparison of the Associations of Lipoprotein(a) and the Atherogenic Index of Plasma With Coronary Artery Calcification in Patients Without H</w:t>
      </w:r>
      <w:r>
        <w:rPr>
          <w:rFonts w:ascii="Times New Roman" w:hAnsi="Times New Roman" w:cs="Times New Roman"/>
          <w:color w:val="000000"/>
          <w:kern w:val="0"/>
          <w:sz w:val="20"/>
          <w:szCs w:val="20"/>
        </w:rPr>
        <w:t>igh LDL-C: A Comparative Analysis, J Lipid Atheroscler, 12 (2023) 152-163.</w:t>
      </w:r>
      <w:bookmarkEnd w:id="20"/>
    </w:p>
    <w:p w14:paraId="2183CC58"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[17] </w:t>
      </w:r>
      <w:bookmarkStart w:id="21" w:name="_neb1C8C64DF_16FD_4603_9561_C36BC04BB2F2"/>
      <w:r>
        <w:rPr>
          <w:rFonts w:ascii="Times New Roman" w:hAnsi="Times New Roman" w:cs="Times New Roman"/>
          <w:color w:val="000000"/>
          <w:kern w:val="0"/>
          <w:sz w:val="20"/>
          <w:szCs w:val="20"/>
        </w:rPr>
        <w:t>Schmermund A, Achenbach S, Budde T, Buziashvili Y, Förster A, Friedrich G, et al., Effect of intensive versus standard lipid-lowering treatment with atorvastatin on the progres</w:t>
      </w:r>
      <w:r>
        <w:rPr>
          <w:rFonts w:ascii="Times New Roman" w:hAnsi="Times New Roman" w:cs="Times New Roman"/>
          <w:color w:val="000000"/>
          <w:kern w:val="0"/>
          <w:sz w:val="20"/>
          <w:szCs w:val="20"/>
        </w:rPr>
        <w:t>sion of calcified coronary atherosclerosis over 12 months: a multicenter, randomized, double-blind trial, CIRCULATION, 113 (2006) 427-437.</w:t>
      </w:r>
      <w:bookmarkEnd w:id="21"/>
    </w:p>
    <w:p w14:paraId="58431FD0"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[18] </w:t>
      </w:r>
      <w:bookmarkStart w:id="22" w:name="_neb7F5955B9_3DB5_40A2_946C_8815D62C7918"/>
      <w:r>
        <w:rPr>
          <w:rFonts w:ascii="Times New Roman" w:hAnsi="Times New Roman" w:cs="Times New Roman"/>
          <w:color w:val="000000"/>
          <w:kern w:val="0"/>
          <w:sz w:val="20"/>
          <w:szCs w:val="20"/>
        </w:rPr>
        <w:t>Hozawa A, Folsom AR, Sharrett AR, Payne TJ, Chambless LE, Does the impact of smoking on coronary heart disease d</w:t>
      </w:r>
      <w:r>
        <w:rPr>
          <w:rFonts w:ascii="Times New Roman" w:hAnsi="Times New Roman" w:cs="Times New Roman"/>
          <w:color w:val="000000"/>
          <w:kern w:val="0"/>
          <w:sz w:val="20"/>
          <w:szCs w:val="20"/>
        </w:rPr>
        <w:t>iffer by low-density lipoprotein cholesterol level?: the Atherosclerosis Risk in Communities (ARIC) Study, CIRCULATION JOURNAL, 70 (2006) 1105-1110.</w:t>
      </w:r>
      <w:bookmarkEnd w:id="22"/>
    </w:p>
    <w:p w14:paraId="22285238"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[19] </w:t>
      </w:r>
      <w:bookmarkStart w:id="23" w:name="_nebB5AE5458_6B55_4613_B9B1_2C3A14F70E99"/>
      <w:r>
        <w:rPr>
          <w:rFonts w:ascii="Times New Roman" w:hAnsi="Times New Roman" w:cs="Times New Roman"/>
          <w:color w:val="000000"/>
          <w:kern w:val="0"/>
          <w:sz w:val="20"/>
          <w:szCs w:val="20"/>
        </w:rPr>
        <w:t>Nakazato R, Gransar H, Berman DS, Cheng VY, Lin FY, Achenbach S, et al., Statins use and coronary arte</w:t>
      </w:r>
      <w:r>
        <w:rPr>
          <w:rFonts w:ascii="Times New Roman" w:hAnsi="Times New Roman" w:cs="Times New Roman"/>
          <w:color w:val="000000"/>
          <w:kern w:val="0"/>
          <w:sz w:val="20"/>
          <w:szCs w:val="20"/>
        </w:rPr>
        <w:t>ry plaque composition: results from the International Multicenter CONFIRM Registry, ATHEROSCLEROSIS, 225 (2012) 148-153.</w:t>
      </w:r>
      <w:bookmarkEnd w:id="23"/>
    </w:p>
    <w:p w14:paraId="7FE6F825"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[20] </w:t>
      </w:r>
      <w:bookmarkStart w:id="24" w:name="_nebEFD2F877_4558_4283_98C3_85B6C4B6CD0A"/>
      <w:r>
        <w:rPr>
          <w:rFonts w:ascii="Times New Roman" w:hAnsi="Times New Roman" w:cs="Times New Roman"/>
          <w:color w:val="000000"/>
          <w:kern w:val="0"/>
          <w:sz w:val="20"/>
          <w:szCs w:val="20"/>
        </w:rPr>
        <w:t>Puri R, Nicholls SJ, Shao M, Kataoka Y, Uno K, Kapadia SR, et al., Impact of statins on serial coronary calcification during ather</w:t>
      </w:r>
      <w:r>
        <w:rPr>
          <w:rFonts w:ascii="Times New Roman" w:hAnsi="Times New Roman" w:cs="Times New Roman"/>
          <w:color w:val="000000"/>
          <w:kern w:val="0"/>
          <w:sz w:val="20"/>
          <w:szCs w:val="20"/>
        </w:rPr>
        <w:t>oma progression and regression, JOURNAL OF THE AMERICAN COLLEGE OF CARDIOLOGY, 65 (2015) 1273-1282.</w:t>
      </w:r>
      <w:bookmarkEnd w:id="24"/>
    </w:p>
    <w:p w14:paraId="5ACAA06C"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[21] </w:t>
      </w:r>
      <w:bookmarkStart w:id="25" w:name="_nebB3999FBA_8680_46A6_842C_DF11ED00CE09"/>
      <w:r>
        <w:rPr>
          <w:rFonts w:ascii="Times New Roman" w:hAnsi="Times New Roman" w:cs="Times New Roman"/>
          <w:color w:val="000000"/>
          <w:kern w:val="0"/>
          <w:sz w:val="20"/>
          <w:szCs w:val="20"/>
        </w:rPr>
        <w:t>Kronmal RA, McClelland RL, Detrano R, Shea S, Lima JA, Cushman M, et al., Risk factors for the progression of coronary artery calcification in asymptom</w:t>
      </w:r>
      <w:r>
        <w:rPr>
          <w:rFonts w:ascii="Times New Roman" w:hAnsi="Times New Roman" w:cs="Times New Roman"/>
          <w:color w:val="000000"/>
          <w:kern w:val="0"/>
          <w:sz w:val="20"/>
          <w:szCs w:val="20"/>
        </w:rPr>
        <w:t>atic subjects: results from the Multi-Ethnic Study of Atherosclerosis (MESA), CIRCULATION, 115 (2007) 2722-2730.</w:t>
      </w:r>
      <w:bookmarkEnd w:id="25"/>
    </w:p>
    <w:p w14:paraId="2A79282D"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[22] </w:t>
      </w:r>
      <w:bookmarkStart w:id="26" w:name="_neb75EEBF78_7E5E_4FDA_884C_048992B7AB1C"/>
      <w:r>
        <w:rPr>
          <w:rFonts w:ascii="Times New Roman" w:hAnsi="Times New Roman" w:cs="Times New Roman"/>
          <w:color w:val="000000"/>
          <w:kern w:val="0"/>
          <w:sz w:val="20"/>
          <w:szCs w:val="20"/>
        </w:rPr>
        <w:t>Shao JS, Cai J, Towler DA, Molecular mechanisms of vascular calcification: lessons learned from the aorta, ARTERIOSCLEROSIS THROMBOSIS AND</w:t>
      </w:r>
      <w:r>
        <w:rPr>
          <w:rFonts w:ascii="Times New Roman" w:hAnsi="Times New Roman" w:cs="Times New Roman"/>
          <w:color w:val="000000"/>
          <w:kern w:val="0"/>
          <w:sz w:val="20"/>
          <w:szCs w:val="20"/>
        </w:rPr>
        <w:t xml:space="preserve"> VASCULAR BIOLOGY, 26 (2006) 1423-1430.</w:t>
      </w:r>
      <w:bookmarkEnd w:id="26"/>
    </w:p>
    <w:p w14:paraId="05071121"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[23] </w:t>
      </w:r>
      <w:bookmarkStart w:id="27" w:name="_neb5EC450C9_B5F9_4604_BA24_F1E6E9FB6216"/>
      <w:r>
        <w:rPr>
          <w:rFonts w:ascii="Times New Roman" w:hAnsi="Times New Roman" w:cs="Times New Roman"/>
          <w:color w:val="000000"/>
          <w:kern w:val="0"/>
          <w:sz w:val="20"/>
          <w:szCs w:val="20"/>
        </w:rPr>
        <w:t>Hyun YY, Kim H, Oh KH, Ahn C, Park SK, Chae DW, et al., eGFR and coronary artery calcification in chronic kidney disease, EUROPEAN JOURNAL OF CLINICAL INVESTIGATION, 49 (2019) e13101.</w:t>
      </w:r>
      <w:bookmarkEnd w:id="27"/>
    </w:p>
    <w:p w14:paraId="7B28DD1A"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[24] </w:t>
      </w:r>
      <w:bookmarkStart w:id="28" w:name="_nebC0FC2C47_6C56_4605_BD19_C77640AC7539"/>
      <w:r>
        <w:rPr>
          <w:rFonts w:ascii="Times New Roman" w:hAnsi="Times New Roman" w:cs="Times New Roman"/>
          <w:color w:val="000000"/>
          <w:kern w:val="0"/>
          <w:sz w:val="20"/>
          <w:szCs w:val="20"/>
        </w:rPr>
        <w:t xml:space="preserve">El BA, Elias-Smale S, </w:t>
      </w:r>
      <w:r>
        <w:rPr>
          <w:rFonts w:ascii="Times New Roman" w:hAnsi="Times New Roman" w:cs="Times New Roman"/>
          <w:color w:val="000000"/>
          <w:kern w:val="0"/>
          <w:sz w:val="20"/>
          <w:szCs w:val="20"/>
        </w:rPr>
        <w:t>Dehghan A, Vliegenthart-Proença R, Oudkerk M, Hofman A, et al., Renal function is related to severity of coronary artery calcification in elderly persons: the Rotterdam study, PLoS One, 6 (2011) e16738.</w:t>
      </w:r>
      <w:bookmarkEnd w:id="28"/>
    </w:p>
    <w:p w14:paraId="69B71E89"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[25] </w:t>
      </w:r>
      <w:bookmarkStart w:id="29" w:name="_neb92007061_8380_4CA7_9154_04D9E53DAC86"/>
      <w:r>
        <w:rPr>
          <w:rFonts w:ascii="Times New Roman" w:hAnsi="Times New Roman" w:cs="Times New Roman"/>
          <w:color w:val="000000"/>
          <w:kern w:val="0"/>
          <w:sz w:val="20"/>
          <w:szCs w:val="20"/>
        </w:rPr>
        <w:t>Hisamatsu T, Fujiyoshi A, Miura K, Ohkubo T, Kad</w:t>
      </w:r>
      <w:r>
        <w:rPr>
          <w:rFonts w:ascii="Times New Roman" w:hAnsi="Times New Roman" w:cs="Times New Roman"/>
          <w:color w:val="000000"/>
          <w:kern w:val="0"/>
          <w:sz w:val="20"/>
          <w:szCs w:val="20"/>
        </w:rPr>
        <w:t>ota A, Kadowaki S, et al., Lipoprotein particle profiles compared with standard lipids in association with coronary artery calcification in the general Japanese population, ATHEROSCLEROSIS, 236 (2014) 237-243.</w:t>
      </w:r>
      <w:bookmarkEnd w:id="29"/>
    </w:p>
    <w:p w14:paraId="311B63C8" w14:textId="77777777" w:rsidR="00060E59" w:rsidRDefault="00682037">
      <w:pPr>
        <w:autoSpaceDE w:val="0"/>
        <w:autoSpaceDN w:val="0"/>
        <w:adjustRightInd w:val="0"/>
        <w:rPr>
          <w:rFonts w:ascii="Times New Roman" w:hAnsi="Times New Roman" w:cs="Times New Roman"/>
          <w:kern w:val="0"/>
          <w:sz w:val="24"/>
          <w:szCs w:val="24"/>
        </w:rPr>
      </w:pPr>
      <w:r>
        <w:rPr>
          <w:rFonts w:ascii="Times New Roman" w:hAnsi="Times New Roman" w:cs="Times New Roman"/>
          <w:color w:val="000000"/>
          <w:kern w:val="0"/>
          <w:sz w:val="20"/>
          <w:szCs w:val="20"/>
        </w:rPr>
        <w:t xml:space="preserve">[26] </w:t>
      </w:r>
      <w:bookmarkStart w:id="30" w:name="_nebC6113E6C_D8AD_4AA9_B773_3CDA7FCAD03F"/>
      <w:r>
        <w:rPr>
          <w:rFonts w:ascii="Times New Roman" w:hAnsi="Times New Roman" w:cs="Times New Roman"/>
          <w:color w:val="000000"/>
          <w:kern w:val="0"/>
          <w:sz w:val="20"/>
          <w:szCs w:val="20"/>
        </w:rPr>
        <w:t>Allison MA, Wright CM, A comparison of HD</w:t>
      </w:r>
      <w:r>
        <w:rPr>
          <w:rFonts w:ascii="Times New Roman" w:hAnsi="Times New Roman" w:cs="Times New Roman"/>
          <w:color w:val="000000"/>
          <w:kern w:val="0"/>
          <w:sz w:val="20"/>
          <w:szCs w:val="20"/>
        </w:rPr>
        <w:t>L and LDL cholesterol for prevalent coronary calcification, INTERNATIONAL JOURNAL OF CARDIOLOGY, 95 (2004) 55-60.</w:t>
      </w:r>
      <w:bookmarkEnd w:id="30"/>
    </w:p>
    <w:p w14:paraId="25F5C3FB" w14:textId="77777777" w:rsidR="00060E59" w:rsidRDefault="00682037">
      <w:r>
        <w:rPr>
          <w:rFonts w:hint="eastAsia"/>
        </w:rPr>
        <w:fldChar w:fldCharType="end"/>
      </w:r>
    </w:p>
    <w:sectPr w:rsidR="00060E59">
      <w:footerReference w:type="default" r:id="rId8"/>
      <w:pgSz w:w="11906" w:h="16838"/>
      <w:pgMar w:top="1440" w:right="1800" w:bottom="1440" w:left="1800" w:header="851" w:footer="992" w:gutter="0"/>
      <w:lnNumType w:countBy="1" w:restart="continuous"/>
      <w:pgNumType w:fmt="lowerRoman"/>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7DD0F" w14:textId="77777777" w:rsidR="00000000" w:rsidRDefault="00682037">
      <w:r>
        <w:separator/>
      </w:r>
    </w:p>
  </w:endnote>
  <w:endnote w:type="continuationSeparator" w:id="0">
    <w:p w14:paraId="071BC9B4" w14:textId="77777777" w:rsidR="00000000" w:rsidRDefault="0068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YingHei_18030_C-Medium">
    <w:altName w:val="宋体"/>
    <w:charset w:val="86"/>
    <w:family w:val="roman"/>
    <w:pitch w:val="default"/>
    <w:sig w:usb0="00000000" w:usb1="00000000" w:usb2="0000001E"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0158980"/>
    </w:sdtPr>
    <w:sdtEndPr/>
    <w:sdtContent>
      <w:p w14:paraId="3BD467BB" w14:textId="77777777" w:rsidR="00060E59" w:rsidRDefault="00682037">
        <w:pPr>
          <w:pStyle w:val="a3"/>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12FE14E7" w14:textId="77777777" w:rsidR="00060E59" w:rsidRDefault="00060E5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2B1C8" w14:textId="77777777" w:rsidR="00000000" w:rsidRDefault="00682037">
      <w:r>
        <w:separator/>
      </w:r>
    </w:p>
  </w:footnote>
  <w:footnote w:type="continuationSeparator" w:id="0">
    <w:p w14:paraId="5D292560" w14:textId="77777777" w:rsidR="00000000" w:rsidRDefault="006820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753A8E"/>
    <w:multiLevelType w:val="multilevel"/>
    <w:tmpl w:val="42753A8E"/>
    <w:lvl w:ilvl="0">
      <w:start w:val="1"/>
      <w:numFmt w:val="upperRoman"/>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 ADDIN NE.CacheBib" w:val="{\rtf1\ansi\ansicpg936\pard\plain{\fonttbl{\f0\fnil\fcharset0\fprq2 Times New Roman;}}{\colortbl;\red0\green0\blue0;}\par\pard\plain \ql{\f0\fs20\b\cf1 References:}\par\pard\plain \qj{\f0\fs20\cf1  }{\f0\fs20\cf1 [}{\f0\fs20\cf1 1}{\f0\fs20\cf1 ] }{\bkmkstart _nebD918C8B7_60B9_42F5_BD67_AF53ACC9CF4F}{\f0\fs20\cf1 Finn AV}{\f0\fs20\cf1 , }{\f0\fs20\cf1 Coronary Calcium: A Comprehensive Understanding of Its Biology, Use in Screening, and Interventional Management}{\f0\fs20\cf1 ,}{\f0\fs20\cf1  }{\f0\fs20\cf1 1}{\f0\fs20\cf1  ed.}{\f0\fs20\cf1 , }{\f0\fs20\cf1 Elsevier Science &amp; Technology}{\f0\fs20\cf1 , }{\f0\fs20\cf1 Amsterdam, Netherlands}{\f0\fs20\cf1 , }{\f0\fs20\cf1 2019}{\f0\fs20\cf1 .}{\bkmkend _nebD918C8B7_60B9_42F5_BD67_AF53ACC9CF4F}\par\pard\plain \qj{\f0\fs20\cf1  }{\f0\fs20\cf1 [}{\f0\fs20\cf1 2}{\f0\fs20\cf1 ] }{\bkmkstart _nebFCB2957E_E152_487E_805B_69FC816DAEED}{\f0\fs20\cf1 Demer LL}{\f0\fs20\cf1 , }{\f0\fs20\cf1 Tintut Y}{\f0\fs20\cf1 , }{\f0\fs20\cf1 Inflammatory, metabolic, and genetic mechanisms of vascular calcification}{\f0\fs20\cf1 , }{\f0\fs20\cf1 ARTERIOSCLEROSIS THROMBOSIS AND VASCULAR BIOLOGY}{\f0\fs20\cf1 , }{\f0\fs20\cf1 34}{\f0\fs20\cf1  }{\f0\fs20\cf1 (}{\f0\fs20\cf1 2014}{\f0\fs20\cf1 )}{\f0\fs20\cf1  }{\f0\fs20\cf1 715-723}{\f0\fs20\cf1 .}{\bkmkend _nebFCB2957E_E152_487E_805B_69FC816DAEED}\par\pard\plain \qj{\f0\fs20\cf1  }{\f0\fs20\cf1 [}{\f0\fs20\cf1 3}{\f0\fs20\cf1 ] }{\bkmkstart _neb4A217A68_CCB2_4E7B_AF5D_C6DFA5E7809C}{\f0\fs20\cf1 Wexler L}{\f0\fs20\cf1 , }{\f0\fs20\cf1 Brundage B}{\f0\fs20\cf1 , }{\f0\fs20\cf1 Crouse J}{\f0\fs20\cf1 , }{\f0\fs20\cf1 Detrano R}{\f0\fs20\cf1 , }{\f0\fs20\cf1 Fuster V}{\f0\fs20\cf1 , }{\f0\fs20\cf1 Maddahi J}{\f0\fs20\cf1 , et al.}{\f0\fs20\cf1 , }{\f0\fs20\cf1 Coronary artery calcification: pathophysiology, epidemiology, imaging methods, and clinical implications. A statement for health professionals from the American Heart Association. Writing Group}{\f0\fs20\cf1 , }{\f0\fs20\cf1 CIRCULATION}{\f0\fs20\cf1 , }{\f0\fs20\cf1 94}{\f0\fs20\cf1  }{\f0\fs20\cf1 (}{\f0\fs20\cf1 1996}{\f0\fs20\cf1 )}{\f0\fs20\cf1  }{\f0\fs20\cf1 1175-1192}{\f0\fs20\cf1 .}{\bkmkend _neb4A217A68_CCB2_4E7B_AF5D_C6DFA5E7809C}\par\pard\plain \qj{\f0\fs20\cf1  }{\f0\fs20\cf1 [}{\f0\fs20\cf1 4}{\f0\fs20\cf1 ] }{\bkmkstart _neb56398AB6_4F16_44F1_A225_74E63DD548D3}{\f0\fs20\cf1 Nakamura S}{\f0\fs20\cf1 , }{\f0\fs20\cf1 Ishibashi-Ueda H}{\f0\fs20\cf1 , }{\f0\fs20\cf1 Niizuma S}{\f0\fs20\cf1 , }{\f0\fs20\cf1 Yoshihara F}{\f0\fs20\cf1 , }{\f0\fs20\cf1 Horio T}{\f0\fs20\cf1 , }{\f0\fs20\cf1 Kawano Y}{\f0\fs20\cf1 , }{\f0\fs20\cf1 Coronary calcification in patients with chronic kidney disease and coronary artery disease}{\f0\fs20\cf1 , }{\f0\fs20\cf1 Clinical Journal of the American Society of Nephrology}{\f0\fs20\cf1 , }{\f0\fs20\cf1 4}{\f0\fs20\cf1  }{\f0\fs20\cf1 (}{\f0\fs20\cf1 2009}{\f0\fs20\cf1 )}{\f0\fs20\cf1  }{\f0\fs20\cf1 1892-1900}{\f0\fs20\cf1 .}{\bkmkend _neb56398AB6_4F16_44F1_A225_74E63DD548D3}\par\pard\plain \qj{\f0\fs20\cf1  }{\f0\fs20\cf1 [}{\f0\fs20\cf1 5}{\f0\fs20\cf1 ] }{\bkmkstart _neb89DEAD69_FFB6_4013_BC8A_CCE34C6B233D}{\f0\fs20\cf1 Starkman HS}{\f0\fs20\cf1 , }{\f0\fs20\cf1 Cable G}{\f0\fs20\cf1 , }{\f0\fs20\cf1 Hala V}{\f0\fs20\cf1 , }{\f0\fs20\cf1 Hecht H}{\f0\fs20\cf1 , }{\f0\fs20\cf1 Donnelly CM}{\f0\fs20\cf1 , }{\f0\fs20\cf1 Delineation of prevalence and risk factors for early coronary artery disease by electron beam computed tomography in young adults with type 1 diabetes}{\f0\fs20\cf1 , }{\f0\fs20\cf1 DIABETES CARE}{\f0\fs20\cf1 , }{\f0\fs20\cf1 26}{\f0\fs20\cf1  }{\f0\fs20\cf1 (}{\f0\fs20\cf1 2003}{\f0\fs20\cf1 )}{\f0\fs20\cf1  }{\f0\fs20\cf1 433-436}{\f0\fs20\cf1 .}{\bkmkend _neb89DEAD69_FFB6_4013_BC8A_CCE34C6B233D}\par\pard\plain \qj{\f0\fs20\cf1  }{\f0\fs20\cf1 [}{\f0\fs20\cf1 6}{\f0\fs20\cf1 ] }{\bkmkstart _neb32538A04_97D9_4EB1_A296_73712ABF5885}{\f0\fs20\cf1 Kamenskiy A}{\f0\fs20\cf1 , }{\f0\fs20\cf1 Poulson W}{\f0\fs20\cf1 , }{\f0\fs20\cf1 Sim S}{\f0\fs20\cf1 , }{\f0\fs20\cf1 Reilly A}{\f0\fs20\cf1 , }{\f0\fs20\cf1 Luo J}{\f0\fs20\cf1 , }{\f0\fs20\cf1 MacTaggart J}{\f0\fs20\cf1 , }{\f0\fs20\cf1 Prevalence of Calcification in Human Femoropopliteal Arteries and its Association with Demographics, Risk Factors, and Arterial Stiffness}{\f0\fs20\cf1 , }{\f0\fs20\cf1 ARTERIOSCLEROSIS THROMBOSIS AND VASCULAR BIOLOGY}{\f0\fs20\cf1 , }{\f0\fs20\cf1 38}{\f0\fs20\cf1  }{\f0\fs20\cf1 (}{\f0\fs20\cf1 2018}{\f0\fs20\cf1 )}{\f0\fs20\cf1  }{\f0\fs20\cf1 e48-e57}{\f0\fs20\cf1 .}{\bkmkend _neb32538A04_97D9_4EB1_A296_73712ABF5885}\par\pard\plain \qj{\f0\fs20\cf1  }{\f0\fs20\cf1 [}{\f0\fs20\cf1 7}{\f0\fs20\cf1 ] }{\bkmkstart _neb87D4CE21_5DF4_4FCE_9BF2_9C2FDCD0657A}{\f0\fs20\cf1 Janssen T}{\f0\fs20\cf1 , }{\f0\fs20\cf1 Bannas P}{\f0\fs20\cf1 , }{\f0\fs20\cf1 Herrmann J}{\f0\fs20\cf1 , }{\f0\fs20\cf1 Veldhoen S}{\f0\fs20\cf1 , }{\f0\fs20\cf1 Busch JD}{\f0\fs20\cf1 , }{\f0\fs20\cf1 Treszl A}{\f0\fs20\cf1 , et al.}{\f0\fs20\cf1 , }{\f0\fs20\cf1 Association of linear {\u185 ?}{\u8312 ?}F-sodium fluoride accumulation in femoral arteries as a measure of diffuse calcification with cardiovascular risk factors: a PET/CT study}{\f0\fs20\cf1 , }{\f0\fs20\cf1 JOURNAL OF NUCLEAR CARDIOLOGY}{\f0\fs20\cf1 , }{\f0\fs20\cf1 20}{\f0\fs20\cf1  }{\f0\fs20\cf1 (}{\f0\fs20\cf1 2013}{\f0\fs20\cf1 )}{\f0\fs20\cf1  }{\f0\fs20\cf1 569-577}{\f0\fs20\cf1 .}{\bkmkend _neb87D4CE21_5DF4_4FCE_9BF2_9C2FDCD0657A}\par\pard\plain \qj{\f0\fs20\cf1  }{\f0\fs20\cf1 [}{\f0\fs20\cf1 8}{\f0\fs20\cf1 ] }{\bkmkstart _neb3DC95FE9_A0D8_4526_BA8D_ACF93327C669}{\f0\fs20\cf1 Derlin T}{\f0\fs20\cf1 , }{\f0\fs20\cf1 T{\u243 ?}th Z}{\f0\fs20\cf1 , }{\f0\fs20\cf1 Papp L}{\f0\fs20\cf1 , }{\f0\fs20\cf1 Wisotzki C}{\f0\fs20\cf1 , }{\f0\fs20\cf1 Apostolova I}{\f0\fs20\cf1 , }{\f0\fs20\cf1 Habermann CR}{\f0\fs20\cf1 , et al.}{\f0\fs20\cf1 , }{\f0\fs20\cf1 Correlation of inflammation assessed by 18F-FDG PET, active mineral deposition assessed by 18F-fluoride PET, and vascular calcification in atherosclerotic plaque: a dual-tracer PET/CT study}{\f0\fs20\cf1 , }{\f0\fs20\cf1 JOURNAL OF NUCLEAR MEDICINE}{\f0\fs20\cf1 , }{\f0\fs20\cf1 52}{\f0\fs20\cf1  }{\f0\fs20\cf1 (}{\f0\fs20\cf1 2011}{\f0\fs20\cf1 )}{\f0\fs20\cf1  }{\f0\fs20\cf1 1020-1027}{\f0\fs20\cf1 .}{\bkmkend _neb3DC95FE9_A0D8_4526_BA8D_ACF93327C669}\par\pard\plain \qj{\f0\fs20\cf1  }{\f0\fs20\cf1 [}{\f0\fs20\cf1 9}{\f0\fs20\cf1 ] }{\bkmkstart _neb8F1894C5_5B96_43B1_9DED_E214015C0674}{\f0\fs20\cf1 Castagna MT}{\f0\fs20\cf1 , }{\f0\fs20\cf1 Mintz GS}{\f0\fs20\cf1 , }{\f0\fs20\cf1 Ohlmann P}{\f0\fs20\cf1 , }{\f0\fs20\cf1 Kotani J}{\f0\fs20\cf1 , }{\f0\fs20\cf1 Maehara A}{\f0\fs20\cf1 , }{\f0\fs20\cf1 Gevorkian N}{\f0\fs20\cf1 , et al.}{\f0\fs20\cf1 , }{\f0\fs20\cf1 Incidence, location, magnitude, and clinical correlates of saphenous vein graft calcification: an intravascular ultrasound and angiographic study}{\f0\fs20\cf1 , }{\f0\fs20\cf1 CIRCULATION}{\f0\fs20\cf1 , }{\f0\fs20\cf1 111}{\f0\fs20\cf1  }{\f0\fs20\cf1 (}{\f0\fs20\cf1 2005}{\f0\fs20\cf1 )}{\f0\fs20\cf1  }{\f0\fs20\cf1 1148-1152}{\f0\fs20\cf1 .}{\bkmkend _neb8F1894C5_5B96_43B1_9DED_E214015C0674}\par\pard\plain \qj{\f0\fs20\cf1 [}{\f0\fs20\cf1 10}{\f0\fs20\cf1 ] }{\bkmkstart _neb28FDF4F1_CDBA_462F_BA40_18F7918022AC}{\f0\fs20\cf1 Jadidi M}{\f0\fs20\cf1 , }{\f0\fs20\cf1 Poulson W}{\f0\fs20\cf1 , }{\f0\fs20\cf1 Aylward P}{\f0\fs20\cf1 , }{\f0\fs20\cf1 MacTaggart J}{\f0\fs20\cf1 , }{\f0\fs20\cf1 Sanderfer C}{\f0\fs20\cf1 , }{\f0\fs20\cf1 Marmie B}{\f0\fs20\cf1 , et al.}{\f0\fs20\cf1 , }{\f0\fs20\cf1 Calcification prevalence in different vascular zones and its association with demographics, risk factors, and morphometry}{\f0\fs20\cf1 , }{\f0\fs20\cf1 AMERICAN JOURNAL OF PHYSIOLOGY-HEART AND CIRCULATORY PHYSIOLOGY}{\f0\fs20\cf1 , }{\f0\fs20\cf1 320}{\f0\fs20\cf1  }{\f0\fs20\cf1 (}{\f0\fs20\cf1 2021}{\f0\fs20\cf1 )}{\f0\fs20\cf1  }{\f0\fs20\cf1 H2313-H2323}{\f0\fs20\cf1 .}{\bkmkend _neb28FDF4F1_CDBA_462F_BA40_18F7918022AC}\par\pard\plain \qj{\f0\fs20\cf1 [}{\f0\fs20\cf1 11}{\f0\fs20\cf1 ] }{\bkmkstart _neb45E29BCD_BA1D_44FF_8274_C2D917A2BD1B}{\f0\fs20\cf1 Hisamatsu T}{\f0\fs20\cf1 , }{\f0\fs20\cf1 Miura K}{\f0\fs20\cf1 , }{\f0\fs20\cf1 Arima H}{\f0\fs20\cf1 , }{\f0\fs20\cf1 Kadota A}{\f0\fs20\cf1 , }{\f0\fs20\cf1 Kadowaki S}{\f0\fs20\cf1 , }{\f0\fs20\cf1 Torii S}{\f0\fs20\cf1 , et al.}{\f0\fs20\cf1 , }{\f0\fs20\cf1 Smoking, Smoking Cessation, and Measures of Subclinical Atherosclerosis in Multiple Vascular Beds in Japanese Men}{\f0\fs20\cf1 , }{\f0\fs20\cf1 Journal of the American Heart Association}{\f0\fs20\cf1 , }{\f0\fs20\cf1 5}{\f0\fs20\cf1  }{\f0\fs20\cf1 (}{\f0\fs20\cf1 2016}{\f0\fs20\cf1 )}{\f0\fs20\cf1  }{\f0\fs20\cf1 e003738}{\f0\fs20\cf1 .}{\bkmkend _neb45E29BCD_BA1D_44FF_8274_C2D917A2BD1B}\par\pard\plain \qj{\f0\fs20\cf1 [}{\f0\fs20\cf1 12}{\f0\fs20\cf1 ] }{\bkmkstart _neb4BBE5833_A0F4_4809_B3BA_A55EE0958CBF}{\f0\fs20\cf1 Libby P}{\f0\fs20\cf1 , }{\f0\fs20\cf1 Inflammation in atherosclerosis}{\f0\fs20\cf1 , }{\f0\fs20\cf1 ARTERIOSCLEROSIS THROMBOSIS AND VASCULAR BIOLOGY}{\f0\fs20\cf1 , }{\f0\fs20\cf1 32}{\f0\fs20\cf1  }{\f0\fs20\cf1 (}{\f0\fs20\cf1 2012}{\f0\fs20\cf1 )}{\f0\fs20\cf1  }{\f0\fs20\cf1 2045-2051}{\f0\fs20\cf1 .}{\bkmkend _neb4BBE5833_A0F4_4809_B3BA_A55EE0958CBF}\par\pard\plain \qj{\f0\fs20\cf1 [}{\f0\fs20\cf1 13}{\f0\fs20\cf1 ] }{\bkmkstart _nebC546C017_FE3E_4B42_8B0A_6AC2A9E10F1D}{\f0\fs20\cf1 Henein M}{\f0\fs20\cf1 , }{\f0\fs20\cf1 Cardiovascular Calcification}{\f0\fs20\cf1 ,}{\f0\fs20\cf1  }{\f0\fs20\cf1 1}{\f0\fs20\cf1  ed.}{\f0\fs20\cf1 , }{\f0\fs20\cf1 Springer}{\f0\fs20\cf1 , }{\f0\fs20\cf1 Cham, Switzerland}{\f0\fs20\cf1 , }{\f0\fs20\cf1 2021}{\f0\fs20\cf1 .}{\bkmkend _nebC546C017_FE3E_4B42_8B0A_6AC2A9E10F1D}\par\pard\plain \qj{\f0\fs20\cf1 [}{\f0\fs20\cf1 14}{\f0\fs20\cf1 ] }{\bkmkstart _neb9EB387F3_66BE_4AD3_9A10_DDA967D6F4A6}{\f0\fs20\cf1 Hao QY}{\f0\fs20\cf1 , }{\f0\fs20\cf1 Gao JW}{\f0\fs20\cf1 , }{\f0\fs20\cf1 Yuan ZM}{\f0\fs20\cf1 , }{\f0\fs20\cf1 Gao M}{\f0\fs20\cf1 , }{\f0\fs20\cf1 Wang JF}{\f0\fs20\cf1 , }{\f0\fs20\cf1 Schiele F}{\f0\fs20\cf1 , et al.}{\f0\fs20\cf1 , }{\f0\fs20\cf1 Remnant Cholesterol and the Risk of Coronary Artery Calcium Progression: Insights From the CARDIA and MESA Study}{\f0\fs20\cf1 , }{\f0\fs20\cf1 Circulation-Cardiovascular Imaging}{\f0\fs20\cf1 , }{\f0\fs20\cf1 15}{\f0\fs20\cf1  }{\f0\fs20\cf1 (}{\f0\fs20\cf1 2022}{\f0\fs20\cf1 )}{\f0\fs20\cf1  }{\f0\fs20\cf1 e014116}{\f0\fs20\cf1 .}{\bkmkend _neb9EB387F3_66BE_4AD3_9A10_DDA967D6F4A6}\par\pard\plain \qj{\f0\fs20\cf1 [}{\f0\fs20\cf1 15}{\f0\fs20\cf1 ] }{\bkmkstart _neb5338EAFC_1D70_4A84_AA66_6DDC917FFCE1}{\f0\fs20\cf1 Mortensen MB}{\f0\fs20\cf1 , }{\f0\fs20\cf1 Falk E}{\f0\fs20\cf1 , }{\f0\fs20\cf1 Li D}{\f0\fs20\cf1 , }{\f0\fs20\cf1 Nasir K}{\f0\fs20\cf1 , }{\f0\fs20\cf1 Blaha MJ}{\f0\fs20\cf1 , }{\f0\fs20\cf1 Sandfort V}{\f0\fs20\cf1 , et al.}{\f0\fs20\cf1 , }{\f0\fs20\cf1 Statin Trials, Cardiovascular Events, and{\u160 ?}Coronary Artery Calcification: Implications for a Trial-Based Approach to Statin Therapy in{\u160 ?}MESA}{\f0\fs20\cf1 , }{\f0\fs20\cf1 JACC-Cardiovascular Imaging}{\f0\fs20\cf1 , }{\f0\fs20\cf1 11}{\f0\fs20\cf1  }{\f0\fs20\cf1 (}{\f0\fs20\cf1 2018}{\f0\fs20\cf1 )}{\f0\fs20\cf1  }{\f0\fs20\cf1 221-230}{\f0\fs20\cf1 .}{\bkmkend _neb5338EAFC_1D70_4A84_AA66_6DDC917FFCE1}\par\pard\plain \qj{\f0\fs20\cf1 [}{\f0\fs20\cf1 16}{\f0\fs20\cf1 ] }{\bkmkstart _neb99D457DD_F12B_4007_98C7_562DFB2C886D}{\f0\fs20\cf1 Hong SP}{\f0\fs20\cf1 , }{\f0\fs20\cf1 Kim CY}{\f0\fs20\cf1 , }{\f0\fs20\cf1 Jung HW}{\f0\fs20\cf1 , }{\f0\fs20\cf1 The Comparison of the Associations of Lipoprotein(a) and the Atherogenic Index of Plasma With Coronary Artery Calcification in Patients Without High LDL-C: A Comparative Analysis}{\f0\fs20\cf1 , }{\f0\fs20\cf1 J Lipid Atheroscler}{\f0\fs20\cf1 , }{\f0\fs20\cf1 12}{\f0\fs20\cf1  }{\f0\fs20\cf1 (}{\f0\fs20\cf1 2023}{\f0\fs20\cf1 )}{\f0\fs20\cf1  }{\f0\fs20\cf1 152-163}{\f0\fs20\cf1 .}{\bkmkend _neb99D457DD_F12B_4007_98C7_562DFB2C886D}\par\pard\plain \qj{\f0\fs20\cf1 [}{\f0\fs20\cf1 17}{\f0\fs20\cf1 ] }{\bkmkstart _neb1C8C64DF_16FD_4603_9561_C36BC04BB2F2}{\f0\fs20\cf1 Schmermund A}{\f0\fs20\cf1 , }{\f0\fs20\cf1 Achenbach S}{\f0\fs20\cf1 , }{\f0\fs20\cf1 Budde T}{\f0\fs20\cf1 , }{\f0\fs20\cf1 Buziashvili Y}{\f0\fs20\cf1 , }{\f0\fs20\cf1 F{\u246 ?}rster A}{\f0\fs20\cf1 , }{\f0\fs20\cf1 Friedrich G}{\f0\fs20\cf1 , et al.}{\f0\fs20\cf1 , }{\f0\fs20\cf1 Effect of intensive versus standard lipid-lowering treatment with atorvastatin on the progression of calcified coronary atherosclerosis over 12 months: a multicenter, randomized, double-blind trial}{\f0\fs20\cf1 , }{\f0\fs20\cf1 CIRCULATION}{\f0\fs20\cf1 , }{\f0\fs20\cf1 113}{\f0\fs20\cf1  }{\f0\fs20\cf1 (}{\f0\fs20\cf1 2006}{\f0\fs20\cf1 )}{\f0\fs20\cf1  }{\f0\fs20\cf1 427-437}{\f0\fs20\cf1 .}{\bkmkend _neb1C8C64DF_16FD_4603_9561_C36BC04BB2F2}\par\pard\plain \qj{\f0\fs20\cf1 [}{\f0\fs20\cf1 18}{\f0\fs20\cf1 ] }{\bkmkstart _neb7F5955B9_3DB5_40A2_946C_8815D62C7918}{\f0\fs20\cf1 Hozawa A}{\f0\fs20\cf1 , }{\f0\fs20\cf1 Folsom AR}{\f0\fs20\cf1 , }{\f0\fs20\cf1 Sharrett AR}{\f0\fs20\cf1 , }{\f0\fs20\cf1 Payne TJ}{\f0\fs20\cf1 , }{\f0\fs20\cf1 Chambless LE}{\f0\fs20\cf1 , }{\f0\fs20\cf1 Does the impact of smoking on coronary heart disease differ by low-density lipoprotein cholesterol level?: the Atherosclerosis Risk in Communities (ARIC) Study}{\f0\fs20\cf1 , }{\f0\fs20\cf1 CIRCULATION JOURNAL}{\f0\fs20\cf1 , }{\f0\fs20\cf1 70}{\f0\fs20\cf1  }{\f0\fs20\cf1 (}{\f0\fs20\cf1 2006}{\f0\fs20\cf1 )}{\f0\fs20\cf1  }{\f0\fs20\cf1 1105-1110}{\f0\fs20\cf1 .}{\bkmkend _neb7F5955B9_3DB5_40A2_946C_8815D62C7918}\par\pard\plain \qj{\f0\fs20\cf1 [}{\f0\fs20\cf1 19}{\f0\fs20\cf1 ] }{\bkmkstart _nebB5AE5458_6B55_4613_B9B1_2C3A14F70E99}{\f0\fs20\cf1 Nakazato R}{\f0\fs20\cf1 , }{\f0\fs20\cf1 Gransar H}{\f0\fs20\cf1 , }{\f0\fs20\cf1 Berman DS}{\f0\fs20\cf1 , }{\f0\fs20\cf1 Cheng VY}{\f0\fs20\cf1 , }{\f0\fs20\cf1 Lin FY}{\f0\fs20\cf1 , }{\f0\fs20\cf1 Achenbach S}{\f0\fs20\cf1 , et al.}{\f0\fs20\cf1 , }{\f0\fs20\cf1 Statins use and coronary artery plaque composition: results from the International Multicenter CONFIRM Registry}{\f0\fs20\cf1 , }{\f0\fs20\cf1 ATHEROSCLEROSIS}{\f0\fs20\cf1 , }{\f0\fs20\cf1 225}{\f0\fs20\cf1  }{\f0\fs20\cf1 (}{\f0\fs20\cf1 2012}{\f0\fs20\cf1 )}{\f0\fs20\cf1  }{\f0\fs20\cf1 148-153}{\f0\fs20\cf1 .}{\bkmkend _nebB5AE5458_6B55_4613_B9B1_2C3A14F70E99}\par\pard\plain \qj{\f0\fs20\cf1 [}{\f0\fs20\cf1 20}{\f0\fs20\cf1 ] }{\bkmkstart _nebEFD2F877_4558_4283_98C3_85B6C4B6CD0A}{\f0\fs20\cf1 Puri R}{\f0\fs20\cf1 , }{\f0\fs20\cf1 Nicholls SJ}{\f0\fs20\cf1 , }{\f0\fs20\cf1 Shao M}{\f0\fs20\cf1 , }{\f0\fs20\cf1 Kataoka Y}{\f0\fs20\cf1 , }{\f0\fs20\cf1 Uno K}{\f0\fs20\cf1 , }{\f0\fs20\cf1 Kapadia SR}{\f0\fs20\cf1 , et al.}{\f0\fs20\cf1 , }{\f0\fs20\cf1 Impact of statins on serial coronary calcification during atheroma progression and regression}{\f0\fs20\cf1 , }{\f0\fs20\cf1 JOURNAL OF THE AMERICAN COLLEGE OF CARDIOLOGY}{\f0\fs20\cf1 , }{\f0\fs20\cf1 65}{\f0\fs20\cf1  }{\f0\fs20\cf1 (}{\f0\fs20\cf1 2015}{\f0\fs20\cf1 )}{\f0\fs20\cf1  }{\f0\fs20\cf1 1273-1282}{\f0\fs20\cf1 .}{\bkmkend _nebEFD2F877_4558_4283_98C3_85B6C4B6CD0A}\par\pard\plain \qj{\f0\fs20\cf1 [}{\f0\fs20\cf1 21}{\f0\fs20\cf1 ] }{\bkmkstart _nebB3999FBA_8680_46A6_842C_DF11ED00CE09}{\f0\fs20\cf1 Kronmal RA}{\f0\fs20\cf1 , }{\f0\fs20\cf1 McClelland RL}{\f0\fs20\cf1 , }{\f0\fs20\cf1 Detrano R}{\f0\fs20\cf1 , }{\f0\fs20\cf1 Shea S}{\f0\fs20\cf1 , }{\f0\fs20\cf1 Lima JA}{\f0\fs20\cf1 , }{\f0\fs20\cf1 Cushman M}{\f0\fs20\cf1 , et al.}{\f0\fs20\cf1 , }{\f0\fs20\cf1 Risk factors for the progression of coronary artery calcification in asymptomatic subjects: results from the Multi-Ethnic Study of Atherosclerosis (MESA)}{\f0\fs20\cf1 , }{\f0\fs20\cf1 CIRCULATION}{\f0\fs20\cf1 , }{\f0\fs20\cf1 115}{\f0\fs20\cf1  }{\f0\fs20\cf1 (}{\f0\fs20\cf1 2007}{\f0\fs20\cf1 )}{\f0\fs20\cf1  }{\f0\fs20\cf1 2722-2730}{\f0\fs20\cf1 .}{\bkmkend _nebB3999FBA_8680_46A6_842C_DF11ED00CE09}\par\pard\plain \qj{\f0\fs20\cf1 [}{\f0\fs20\cf1 22}{\f0\fs20\cf1 ] }{\bkmkstart _neb75EEBF78_7E5E_4FDA_884C_048992B7AB1C}{\f0\fs20\cf1 Shao JS}{\f0\fs20\cf1 , }{\f0\fs20\cf1 Cai J}{\f0\fs20\cf1 , }{\f0\fs20\cf1 Towler DA}{\f0\fs20\cf1 , }{\f0\fs20\cf1 Molecular mechanisms of vascular calcification: lessons learned from the aorta}{\f0\fs20\cf1 , }{\f0\fs20\cf1 ARTERIOSCLEROSIS THROMBOSIS AND VASCULAR BIOLOGY}{\f0\fs20\cf1 , }{\f0\fs20\cf1 26}{\f0\fs20\cf1  }{\f0\fs20\cf1 (}{\f0\fs20\cf1 2006}{\f0\fs20\cf1 )}{\f0\fs20\cf1  }{\f0\fs20\cf1 1423-1430}{\f0\fs20\cf1 .}{\bkmkend _neb75EEBF78_7E5E_4FDA_884C_048992B7AB1C}\par\pard\plain \qj{\f0\fs20\cf1 [}{\f0\fs20\cf1 23}{\f0\fs20\cf1 ] }{\bkmkstart _neb5EC450C9_B5F9_4604_BA24_F1E6E9FB6216}{\f0\fs20\cf1 Hyun YY}{\f0\fs20\cf1 , }{\f0\fs20\cf1 Kim H}{\f0\fs20\cf1 , }{\f0\fs20\cf1 Oh KH}{\f0\fs20\cf1 , }{\f0\fs20\cf1 Ahn C}{\f0\fs20\cf1 , }{\f0\fs20\cf1 Park SK}{\f0\fs20\cf1 , }{\f0\fs20\cf1 Chae DW}{\f0\fs20\cf1 , et al.}{\f0\fs20\cf1 , }{\f0\fs20\cf1 eGFR and coronary artery calcification in chronic kidney disease}{\f0\fs20\cf1 , }{\f0\fs20\cf1 EUROPEAN JOURNAL OF CLINICAL INVESTIGATION}{\f0\fs20\cf1 , }{\f0\fs20\cf1 49}{\f0\fs20\cf1  }{\f0\fs20\cf1 (}{\f0\fs20\cf1 2019}{\f0\fs20\cf1 )}{\f0\fs20\cf1  }{\f0\fs20\cf1 e13101}{\f0\fs20\cf1 .}{\bkmkend _neb5EC450C9_B5F9_4604_BA24_F1E6E9FB6216}\par\pard\plain \qj{\f0\fs20\cf1 [}{\f0\fs20\cf1 24}{\f0\fs20\cf1 ] }{\bkmkstart _nebC0FC2C47_6C56_4605_BD19_C77640AC7539}{\f0\fs20\cf1 El BA}{\f0\fs20\cf1 , }{\f0\fs20\cf1 Elias-Smale S}{\f0\fs20\cf1 , }{\f0\fs20\cf1 Dehghan A}{\f0\fs20\cf1 , }{\f0\fs20\cf1 Vliegenthart-Proen{\u231 ?}a R}{\f0\fs20\cf1 , }{\f0\fs20\cf1 Oudkerk M}{\f0\fs20\cf1 , }{\f0\fs20\cf1 Hofman A}{\f0\fs20\cf1 , et al.}{\f0\fs20\cf1 , }{\f0\fs20\cf1 Renal function is related to severity of coronary artery calcification in elderly persons: the Rotterdam study}{\f0\fs20\cf1 , }{\f0\fs20\cf1 PLoS One}{\f0\fs20\cf1 , }{\f0\fs20\cf1 6}{\f0\fs20\cf1  }{\f0\fs20\cf1 (}{\f0\fs20\cf1 2011}{\f0\fs20\cf1 )}{\f0\fs20\cf1  }{\f0\fs20\cf1 e16738}{\f0\fs20\cf1 .}{\bkmkend _nebC0FC2C47_6C56_4605_BD19_C77640AC7539}\par\pard\plain \qj{\f0\fs20\cf1 [}{\f0\fs20\cf1 25}{\f0\fs20\cf1 ] }{\bkmkstart _neb92007061_8380_4CA7_9154_04D9E53DAC86}{\f0\fs20\cf1 Hisamatsu T}{\f0\fs20\cf1 , }{\f0\fs20\cf1 Fujiyoshi A}{\f0\fs20\cf1 , }{\f0\fs20\cf1 Miura K}{\f0\fs20\cf1 , }{\f0\fs20\cf1 Ohkubo T}{\f0\fs20\cf1 , }{\f0\fs20\cf1 Kadota A}{\f0\fs20\cf1 , }{\f0\fs20\cf1 Kadowaki S}{\f0\fs20\cf1 , et al.}{\f0\fs20\cf1 , }{\f0\fs20\cf1 Lipoprotein particle profiles compared with standard lipids in association with coronary artery calcification in the general Japanese population}{\f0\fs20\cf1 , }{\f0\fs20\cf1 ATHEROSCLEROSIS}{\f0\fs20\cf1 , }{\f0\fs20\cf1 236}{\f0\fs20\cf1  }{\f0\fs20\cf1 (}{\f0\fs20\cf1 2014}{\f0\fs20\cf1 )}{\f0\fs20\cf1  }{\f0\fs20\cf1 237-243}{\f0\fs20\cf1 .}{\bkmkend _neb92007061_8380_4CA7_9154_04D9E53DAC86}\par\pard\plain \qj{\f0\fs20\cf1 [}{\f0\fs20\cf1 26}{\f0\fs20\cf1 ] }{\bkmkstart _nebC6113E6C_D8AD_4AA9_B773_3CDA7FCAD03F}{\f0\fs20\cf1 Allison MA}{\f0\fs20\cf1 , }{\f0\fs20\cf1 Wright CM}{\f0\fs20\cf1 , }{\f0\fs20\cf1 A comparison of HDL and LDL cholesterol for prevalent coronary calcification}{\f0\fs20\cf1 , }{\f0\fs20\cf1 INTERNATIONAL JOURNAL OF CARDIOLOGY}{\f0\fs20\cf1 , }{\f0\fs20\cf1 95}{\f0\fs20\cf1  }{\f0\fs20\cf1 (}{\f0\fs20\cf1 2004}{\f0\fs20\cf1 )}{\f0\fs20\cf1  }{\f0\fs20\cf1 55-60}{\f0\fs20\cf1 .}{\bkmkend _nebC6113E6C_D8AD_4AA9_B773_3CDA7FCAD03F}\par\pard\plain \qj}"/>
    <w:docVar w:name=" ADDIN NE.CacheRef.{0C415603-32D7-47D8-B8BC-28E1318B7F82}" w:val="{\rtf1\ansi\ansicpg936\pard\plain{\fonttbl{\f0\fnil\fcharset0\fprq2 Times New Roman;}}{\colortbl;\red0\green0\blue0;}{\f0\fs20\cf1 [}{\f0\fs20\cf1 10}{\f0\fs20\cf1 ]}}"/>
    <w:docVar w:name=" ADDIN NE.CacheRef.{1CA7F7A0-507B-4064-9412-14894F9815E8}" w:val="{\rtf1\ansi\ansicpg936\pard\plain{\fonttbl{\f0\fnil\fcharset0\fprq2 Times New Roman;}}{\colortbl;\red0\green0\blue0;}{\f0\fs20\cf1 [}{\f0\fs20\cf1 9}{\f0\fs20\cf1 ]}}"/>
    <w:docVar w:name=" ADDIN NE.CacheRef.{2015D524-B448-49A2-B7FE-05BD9A44D935}" w:val="{\rtf1\ansi\ansicpg936\pard\plain{\fonttbl{\f0\fnil\fcharset0\fprq2 Times New Roman;}}{\colortbl;\red0\green0\blue0;}{\f0\fs20\cf1 [}{\f0\fs20\cf1 8}{\f0\fs20\cf1 ]}}"/>
    <w:docVar w:name=" ADDIN NE.CacheRef.{26173416-DCD7-4752-B641-0619A1C8E535}" w:val="{\rtf1\ansi\ansicpg936\pard\plain{\fonttbl{\f0\fnil\fcharset0\fprq2 Times New Roman;}}{\colortbl;\red0\green0\blue0;}{\f0\fs20\cf1 [}{\f0\fs20\cf1 13}{\f0\fs20\cf1 ]}}"/>
    <w:docVar w:name=" ADDIN NE.CacheRef.{38D894E0-94BB-4AAD-8F1B-01359FCD3933}" w:val="{\rtf1\ansi\ansicpg936\pard\plain{\fonttbl{\f0\fnil\fcharset0\fprq2 Times New Roman;}}{\colortbl;\red0\green0\blue0;}{\f0\fs20\cf1 [}{\f0\fs20\cf1 6}{\f0\fs20\cf1 ]}}"/>
    <w:docVar w:name=" ADDIN NE.CacheRef.{3E6A2375-6898-4D37-B553-DAA4CC5F3D5B}" w:val="{\rtf1\ansi\ansicpg936\pard\plain{\fonttbl{\f0\fnil\fcharset0\fprq2 Times New Roman;}}{\colortbl;\red0\green0\blue0;}{\f0\fs20\cf1 [}{\f0\fs20\cf1 1}{\f0\fs20\cf1 ]}}"/>
    <w:docVar w:name=" ADDIN NE.CacheRef.{455BD270-06C4-481C-9260-53B6D8D65B77}" w:val="{\rtf1\ansi\ansicpg936\pard\plain{\fonttbl{\f0\fnil\fcharset0\fprq2 Times New Roman;}}{\colortbl;\red0\green0\blue0;}{\f0\fs20\cf1 [}{\f0\fs20\cf1 11}{\f0\fs20\cf1 ]}}"/>
    <w:docVar w:name=" ADDIN NE.CacheRef.{49AB0EB5-5997-4480-8510-A8A7E13D3E42}" w:val="{\rtf1\ansi\ansicpg936\pard\plain{\fonttbl{\f0\fnil\fcharset0\fprq2 Times New Roman;}}{\colortbl;\red0\green0\blue0;}{\f0\fs20\cf1 [}{\f0\fs20\cf1 20}{\f0\fs20\cf1 ]}}"/>
    <w:docVar w:name=" ADDIN NE.CacheRef.{4E8716AA-3641-4810-A203-D5302D2DF069}" w:val="{\rtf1\ansi\ansicpg936\pard\plain{\fonttbl{\f0\fnil\fcharset0\fprq2 Times New Roman;}}{\colortbl;\red0\green0\blue0;}{\f0\fs20\cf1 [}{\f0\fs20\cf1 16}{\f0\fs20\cf1 ]}}"/>
    <w:docVar w:name=" ADDIN NE.CacheRef.{5A0C9ECF-3180-48B7-AD39-8CAE5F1B58C5}" w:val="{\rtf1\ansi\ansicpg936\pard\plain{\fonttbl{\f0\fnil\fcharset0\fprq2 Times New Roman;}}{\colortbl;\red0\green0\blue0;}{\f0\fs20\cf1 [}{\f0\fs20\cf1 1}{\f0\fs20\cf1 ]}}"/>
    <w:docVar w:name=" ADDIN NE.CacheRef.{5ACAADC9-F050-4CCF-AAB5-72C0114B5399}" w:val="{\rtf1\ansi\ansicpg936\pard\plain{\fonttbl{\f0\fnil\fcharset0\fprq2 Times New Roman;}}{\colortbl;\red0\green0\blue0;}{\f0\fs20\cf1 [}{\f0\fs20\cf1 19}{\f0\fs20\cf1 ]}}"/>
    <w:docVar w:name=" ADDIN NE.CacheRef.{5BA34CE5-AEB9-4A57-AE3E-FB5BA1BB1255}" w:val="{\rtf1\ansi\ansicpg936\pard\plain{\fonttbl{\f0\fnil\fcharset0\fprq2 Times New Roman;}}{\colortbl;\red0\green0\blue0;}{\f0\fs20\cf1 [}{\f0\fs20\cf1 23}{\f0\fs20\cf1 ]}}"/>
    <w:docVar w:name=" ADDIN NE.CacheRef.{5E19392F-3392-4539-B988-C7A8E01257CB}" w:val="{\rtf1\ansi\ansicpg936\pard\plain{\fonttbl{\f0\fnil\fcharset0\fprq2 Times New Roman;}}{\colortbl;\red0\green0\blue0;}{\f0\fs20\cf1 [}{\f0\fs20\cf1 22}{\f0\fs20\cf1 ]}}"/>
    <w:docVar w:name=" ADDIN NE.CacheRef.{7791BCF0-C551-4962-B659-6172C2DE1967}" w:val="{\rtf1\ansi\ansicpg936\pard\plain{\fonttbl{\f0\fnil\fcharset0\fprq2 Times New Roman;}}{\colortbl;\red0\green0\blue0;}{\f0\fs20\cf1 [}{\f0\fs20\cf1 1}{\f0\fs20\cf1 ]}}"/>
    <w:docVar w:name=" ADDIN NE.CacheRef.{7DEFB216-2AC0-43B0-94AB-B1718452337C}" w:val="{\rtf1\ansi\ansicpg936\pard\plain{\fonttbl{\f0\fnil\fcharset0\fprq2 Times New Roman;}}{\colortbl;\red0\green0\blue0;}{\f0\fs20\cf1 [}{\f0\fs20\cf1 25}{\f0\fs20\cf1 ]}}"/>
    <w:docVar w:name=" ADDIN NE.CacheRef.{83E6A51A-6417-4F9C-860D-992C228F45A6}" w:val="{\rtf1\ansi\ansicpg936\pard\plain{\fonttbl{\f0\fnil\fcharset0\fprq2 Times New Roman;}}{\colortbl;\red0\green0\blue0;}{\f0\fs20\cf1 [}{\f0\fs20\cf1 15}{\f0\fs20\cf1 ]}}"/>
    <w:docVar w:name=" ADDIN NE.CacheRef.{8A6030EA-4949-45C7-9D6C-C97EA72A4136}" w:val="{\rtf1\ansi\ansicpg936\pard\plain{\fonttbl{\f0\fnil\fcharset0\fprq2 Times New Roman;}}{\colortbl;\red0\green0\blue0;}{\f0\fs20\cf1 [}{\f0\fs20\cf1 18}{\f0\fs20\cf1 ]}}"/>
    <w:docVar w:name=" ADDIN NE.CacheRef.{8DB5EAFD-544E-4CAA-8633-1713F779C152}" w:val="{\rtf1\ansi\ansicpg936\pard\plain{\fonttbl{\f0\fnil\fcharset0\fprq2 Times New Roman;}}{\colortbl;\red0\green0\blue0;}{\f0\fs20\cf1 [}{\f0\fs20\cf1 5}{\f0\fs20\cf1 ]}}"/>
    <w:docVar w:name=" ADDIN NE.CacheRef.{AB4FF32F-029B-4CAC-9391-A816A4FE9CB0}" w:val="{\rtf1\ansi\ansicpg936\pard\plain{\fonttbl{\f0\fnil\fcharset0\fprq2 Times New Roman;}}{\colortbl;\red0\green0\blue0;}{\f0\fs20\cf1 [}{\f0\fs20\cf1 4}{\f0\fs20\cf1 ]}}"/>
    <w:docVar w:name=" ADDIN NE.CacheRef.{B0A5DF57-A136-481F-83C3-925EBB378074}" w:val="{\rtf1\ansi\ansicpg936\pard\plain{\fonttbl{\f0\fnil\fcharset0\fprq2 Times New Roman;}}{\colortbl;\red0\green0\blue0;}{\f0\fs20\cf1 [}{\f0\fs20\cf1 1}{\f0\fs20\cf1 ]}}"/>
    <w:docVar w:name=" ADDIN NE.CacheRef.{B61293CE-6B44-459A-B558-11C71EDEBC86}" w:val="{\rtf1\ansi\ansicpg936\pard\plain{\fonttbl{\f0\fnil\fcharset0\fprq2 Times New Roman;}}{\colortbl;\red0\green0\blue0;}{\f0\fs20\cf1 [}{\f0\fs20\cf1 7}{\f0\fs20\cf1 ]}}"/>
    <w:docVar w:name=" ADDIN NE.CacheRef.{C590FCF9-6E97-4DD1-B27C-0C35445AB35E}" w:val="{\rtf1\ansi\ansicpg936\pard\plain{\fonttbl{\f0\fnil\fcharset0\fprq2 Times New Roman;}}{\colortbl;\red0\green0\blue0;}{\f0\fs20\cf1 [}{\f0\fs20\cf1 3}{\f0\fs20\cf1 ]}}"/>
    <w:docVar w:name=" ADDIN NE.CacheRef.{C8BCCD87-FF36-4B60-B2E2-254E210EFCF9}" w:val="{\rtf1\ansi\ansicpg936\pard\plain{\fonttbl{\f0\fnil\fcharset0\fprq2 Times New Roman;}}{\colortbl;\red0\green0\blue0;}{\f0\fs20\cf1 [}{\f0\fs20\cf1 21}{\f0\fs20\cf1 ]}}"/>
    <w:docVar w:name=" ADDIN NE.CacheRef.{D0914F9A-054E-4E4E-B977-11AD2994A3DF}" w:val="{\rtf1\ansi\ansicpg936\pard\plain{\fonttbl{\f0\fnil\fcharset0\fprq2 Times New Roman;}}{\colortbl;\red0\green0\blue0;}{\f0\fs20\cf1 [}{\f0\fs20\cf1 21}{\f0\fs20\cf1 ]}}"/>
    <w:docVar w:name=" ADDIN NE.CacheRef.{D1902E04-977F-489D-B0B9-FCFF2A7D66CB}" w:val="{\rtf1\ansi\ansicpg936\pard\plain{\fonttbl{\f0\fnil\fcharset0\fprq2 Times New Roman;}}{\colortbl;\red0\green0\blue0;}{\f0\fs20\cf1 [}{\f0\fs20\cf1 17}{\f0\fs20\cf1 ]}}"/>
    <w:docVar w:name=" ADDIN NE.CacheRef.{DF232E67-DBB4-435B-B9E2-F86009C19FE9}" w:val="{\rtf1\ansi\ansicpg936\pard\plain{\fonttbl{\f0\fnil\fcharset0\fprq2 Times New Roman;}}{\colortbl;\red0\green0\blue0;}{\f0\fs20\cf1 [}{\f0\fs20\cf1 14}{\f0\fs20\cf1 ]}}"/>
    <w:docVar w:name=" ADDIN NE.CacheRef.{E5B2A9ED-781D-434C-8EFB-E9E7899F631D}" w:val="{\rtf1\ansi\ansicpg936\pard\plain{\fonttbl{\f0\fnil\fcharset0\fprq2 Times New Roman;}}{\colortbl;\red0\green0\blue0;}{\f0\fs20\cf1 [}{\f0\fs20\cf1 21}{\f0\fs20\cf1 ]}}"/>
    <w:docVar w:name=" ADDIN NE.CacheRef.{E8DCAB4E-16B4-4D3E-BEF9-3F17208C5301}" w:val="{\rtf1\ansi\ansicpg936\pard\plain{\fonttbl{\f0\fnil\fcharset0\fprq2 Times New Roman;}}{\colortbl;\red0\green0\blue0;}{\f0\fs20\cf1 [}{\f0\fs20\cf1 1}{\f0\fs20\cf1 -}{\f0\fs20\cf1 2}{\f0\fs20\cf1 ]}}"/>
    <w:docVar w:name=" ADDIN NE.CacheRef.{ED4A39AC-18D8-4EA9-A182-1769169060DD}" w:val="{\rtf1\ansi\ansicpg936\pard\plain{\fonttbl{\f0\fnil\fcharset0\fprq2 Times New Roman;}}{\colortbl;\red0\green0\blue0;}{\f0\fs20\cf1 [}{\f0\fs20\cf1 12}{\f0\fs20\cf1 ]}}"/>
    <w:docVar w:name=" ADDIN NE.CacheRef.{EE0971C7-75A0-457E-B5F7-1FCB506E9EE1}" w:val="{\rtf1\ansi\ansicpg936\pard\plain{\fonttbl{\f0\fnil\fcharset0\fprq2 Times New Roman;}}{\colortbl;\red0\green0\blue0;}{\f0\fs20\cf1 [}{\f0\fs20\cf1 26}{\f0\fs20\cf1 ]}}"/>
    <w:docVar w:name=" ADDIN NE.CacheRef.{F4767EFC-14EF-4E08-A391-0A3F0A962939}" w:val="{\rtf1\ansi\ansicpg936\pard\plain{\fonttbl{\f0\fnil\fcharset0\fprq2 Times New Roman;}}{\colortbl;\red0\green0\blue0;}{\f0\fs20\cf1 [}{\f0\fs20\cf1 24}{\f0\fs20\cf1 ]}}"/>
    <w:docVar w:name=" ADDIN NE.CacheRef.{F886E16E-0366-4A48-9620-F0D6B2D10940}" w:val="{\rtf1\ansi\ansicpg936\pard\plain{\fonttbl{\f0\fnil\fcharset0\fprq2 Times New Roman;}}{\colortbl;\red0\green0\blue0;}{\f0\fs20\cf1 [}{\f0\fs20\cf1 16}{\f0\fs20\cf1 ]}}"/>
    <w:docVar w:name=" ADDIN NE.CacheRep" w:val="校对报告_x000d__x000a_当前使用的样式是 [Reviews in Cardiovascular Medicine-2024年9月投稿]_x000d__x000a_当前文档题录总数为26条，在32个位置共计插入33次（包括重复插入）_x000d__x000a_有0条题录存在必填字段内容缺失的问题_x000d__x000a_"/>
    <w:docVar w:name="NE.Ref{0C415603-32D7-47D8-B8BC-28E1318B7F82}" w:val=" ADDIN NE.Ref.{0C415603-32D7-47D8-B8BC-28E1318B7F82}&lt;Citation&gt;&lt;Group&gt;&lt;References&gt;&lt;Item&gt;&lt;ID&gt;55&lt;/ID&gt;&lt;UID&gt;{28FDF4F1-CDBA-462F-BA40-18F7918022AC}&lt;/UID&gt;&lt;Title&gt;Calcification prevalence in different vascular zones and its association with demographics, risk factors, and morphometry&lt;/Title&gt;&lt;Template&gt;Journal Article&lt;/Template&gt;&lt;Star&gt;0&lt;/Star&gt;&lt;Tag&gt;0&lt;/Tag&gt;&lt;Author&gt;Jadidi, M; Poulson, W; Aylward, P; MacTaggart, J; Sanderfer, C; Marmie, B; Pipinos, M; Kamenskiy, A&lt;/Author&gt;&lt;Year&gt;2021&lt;/Year&gt;&lt;Details&gt;&lt;_accession_num&gt;33961507&lt;/_accession_num&gt;&lt;_author_adr&gt;Department of Biomechanics, University of Nebraska at Omaha, Omaha, Nebraska.; Department of Surgery, University of Nebraska Medical Center, Omaha, Nebraska.; Department of Surgery, University of Nebraska Medical Center, Omaha, Nebraska.; Department of Surgery, University of Nebraska Medical Center, Omaha, Nebraska.; Department of Surgery, University of Nebraska Medical Center, Omaha, Nebraska.; Department of Surgery, University of Nebraska Medical Center, Omaha, Nebraska.; Department of Surgery, University of Nebraska Medical Center, Omaha, Nebraska.; Department of Biomechanics, University of Nebraska at Omaha, Omaha, Nebraska.&lt;/_author_adr&gt;&lt;_collection_scope&gt;SCIE&lt;/_collection_scope&gt;&lt;_created&gt;64954763&lt;/_created&gt;&lt;_date&gt;2021-06-01&lt;/_date&gt;&lt;_date_display&gt;2021 Jun 1&lt;/_date_display&gt;&lt;_doi&gt;10.1152/ajpheart.00040.2021&lt;/_doi&gt;&lt;_impact_factor&gt;   4.800&lt;/_impact_factor&gt;&lt;_isbn&gt;1522-1539 (Electronic); 0363-6135 (Print); 0363-6135 (Linking)&lt;/_isbn&gt;&lt;_issue&gt;6&lt;/_issue&gt;&lt;_journal&gt;Am J Physiol Heart Circ Physiol&lt;/_journal&gt;&lt;_keywords&gt;aging; aorta; calcification; machine learning; risk factors&lt;/_keywords&gt;&lt;_language&gt;English&lt;/_language&gt;&lt;_modified&gt;65334882&lt;/_modified&gt;&lt;_pages&gt;H2313-H2323&lt;/_pages&gt;&lt;_social_category&gt;心脏和心血管系统(3) &amp;amp; 外周血管病(3) &amp;amp; 生理学(2)&lt;/_social_category&gt;&lt;_subject_headings&gt;Adolescent; Adult; Age Factors; Aged; Aged, 80 and over; Aorta/diagnostic imaging; Aorta, Abdominal/*diagnostic imaging; Aorta, Thoracic/*diagnostic imaging; Child; Child, Preschool; Computed Tomography Angiography; Female; Humans; Imaging, Three-Dimensional; Machine Learning; Male; Middle Aged; Prevalence; Risk Factors; Vascular Calcification/diagnostic imaging/*epidemiology; Young Adult&lt;/_subject_headings&gt;&lt;_tertiary_title&gt;American journal of physiology. Heart and circulatory physiology&lt;/_tertiary_title&gt;&lt;_type_work&gt;Journal Article; Research Support, N.I.H., Extramural; Research Support, U.S. Gov&amp;apos;t, Non-P.H.S.&lt;/_type_work&gt;&lt;_url&gt;http://www.ncbi.nlm.nih.gov/entrez/query.fcgi?cmd=Retrieve&amp;amp;db=pubmed&amp;amp;dopt=Abstract&amp;amp;list_uids=33961507&amp;amp;query_hl=1&lt;/_url&gt;&lt;_volume&gt;320&lt;/_volume&gt;&lt;/Details&gt;&lt;Extra&gt;&lt;DBUID&gt;{C4C4CA92-5C76-4191-9E6A-B9554F84DF1D}&lt;/DBUID&gt;&lt;/Extra&gt;&lt;/Item&gt;&lt;/References&gt;&lt;/Group&gt;&lt;/Citation&gt;_x000a_"/>
    <w:docVar w:name="NE.Ref{1CA7F7A0-507B-4064-9412-14894F9815E8}" w:val=" ADDIN NE.Ref.{1CA7F7A0-507B-4064-9412-14894F9815E8}&lt;Citation&gt;&lt;Group&gt;&lt;References&gt;&lt;Item&gt;&lt;ID&gt;52&lt;/ID&gt;&lt;UID&gt;{8F1894C5-5B96-43B1-9DED-E214015C0674}&lt;/UID&gt;&lt;Title&gt;Incidence, location, magnitude, and clinical correlates of saphenous vein graft calcification: an intravascular ultrasound and angiographic study&lt;/Title&gt;&lt;Template&gt;Journal Article&lt;/Template&gt;&lt;Star&gt;0&lt;/Star&gt;&lt;Tag&gt;0&lt;/Tag&gt;&lt;Author&gt;Castagna, M T; Mintz, G S; Ohlmann, P; Kotani, J; Maehara, A; Gevorkian, N; Cheneau, E; Stabile, E; Ajani, A E; Suddath, W O; Kent, K M; Satler, L F; Pichard, A D; Weissman, N J&lt;/Author&gt;&lt;Year&gt;2005&lt;/Year&gt;&lt;Details&gt;&lt;_accession_num&gt;15723972&lt;/_accession_num&gt;&lt;_author_adr&gt;Cardiovascular Research Institute/Medstar Research Institute, Washington Hospital  Center, Washington, DC 20010, USA.&lt;/_author_adr&gt;&lt;_collection_scope&gt;SCIE&lt;/_collection_scope&gt;&lt;_created&gt;64953982&lt;/_created&gt;&lt;_date&gt;2005-03-08&lt;/_date&gt;&lt;_date_display&gt;2005 Mar 8&lt;/_date_display&gt;&lt;_doi&gt;10.1161/01.CIR.0000157160.69812.55&lt;/_doi&gt;&lt;_impact_factor&gt;  37.800&lt;/_impact_factor&gt;&lt;_isbn&gt;1524-4539 (Electronic); 0009-7322 (Linking)&lt;/_isbn&gt;&lt;_issue&gt;9&lt;/_issue&gt;&lt;_journal&gt;Circulation&lt;/_journal&gt;&lt;_language&gt;English&lt;/_language&gt;&lt;_modified&gt;65046070&lt;/_modified&gt;&lt;_pages&gt;1148-52&lt;/_pages&gt;&lt;_social_category&gt;心脏和心血管系统(1) &amp;amp; 外周血管病(1)&lt;/_social_category&gt;&lt;_subject_headings&gt;Aged; Calcinosis/diagnostic imaging/epidemiology/*pathology; Calcium/analysis; *Coronary Angiography; *Coronary Artery Bypass; Coronary Restenosis/diagnostic imaging/epidemiology/*pathology; Coronary Stenosis/surgery; Diabetes Mellitus, Type 2/epidemiology; Female; Hemodynamics; Humans; Hypercholesterolemia/epidemiology; Hypertension/epidemiology; Incidence; Kidney Diseases/epidemiology; Male; Middle Aged; Postoperative Complications/diagnostic imaging/epidemiology/*pathology; Postoperative Period; Risk Factors; Saphenous Vein/chemistry/diagnostic imaging/*pathology/transplantation; Smoking/epidemiology; *Ultrasonography, Interventional&lt;/_subject_headings&gt;&lt;_tertiary_title&gt;Circulation&lt;/_tertiary_title&gt;&lt;_type_work&gt;Journal Article&lt;/_type_work&gt;&lt;_url&gt;http://www.ncbi.nlm.nih.gov/entrez/query.fcgi?cmd=Retrieve&amp;amp;db=pubmed&amp;amp;dopt=Abstract&amp;amp;list_uids=15723972&amp;amp;query_hl=1&lt;/_url&gt;&lt;_volume&gt;111&lt;/_volume&gt;&lt;/Details&gt;&lt;Extra&gt;&lt;DBUID&gt;{C4C4CA92-5C76-4191-9E6A-B9554F84DF1D}&lt;/DBUID&gt;&lt;/Extra&gt;&lt;/Item&gt;&lt;/References&gt;&lt;/Group&gt;&lt;/Citation&gt;_x000a_"/>
    <w:docVar w:name="NE.Ref{2015D524-B448-49A2-B7FE-05BD9A44D935}" w:val=" ADDIN NE.Ref.{2015D524-B448-49A2-B7FE-05BD9A44D935}&lt;Citation&gt;&lt;Group&gt;&lt;References&gt;&lt;Item&gt;&lt;ID&gt;51&lt;/ID&gt;&lt;UID&gt;{3DC95FE9-A0D8-4526-BA8D-ACF93327C669}&lt;/UID&gt;&lt;Title&gt;Correlation of inflammation assessed by 18F-FDG PET, active mineral deposition assessed by 18F-fluoride PET, and vascular calcification in atherosclerotic plaque: a dual-tracer PET/CT study&lt;/Title&gt;&lt;Template&gt;Journal Article&lt;/Template&gt;&lt;Star&gt;0&lt;/Star&gt;&lt;Tag&gt;0&lt;/Tag&gt;&lt;Author&gt;Derlin, T; Tóth, Z; Papp, L; Wisotzki, C; Apostolova, I; Habermann, C R; Mester, J; Klutmann, S&lt;/Author&gt;&lt;Year&gt;2011&lt;/Year&gt;&lt;Details&gt;&lt;_accession_num&gt;21680686&lt;/_accession_num&gt;&lt;_author_adr&gt;Department of Nuclear Medicine, University Medical Center Hamburg-Eppendorf,  Hamburg, Germany. t.derlin@uke.uni-hamburg.de&lt;/_author_adr&gt;&lt;_collection_scope&gt;SCIE&lt;/_collection_scope&gt;&lt;_created&gt;64953966&lt;/_created&gt;&lt;_date&gt;2011-07-01&lt;/_date&gt;&lt;_date_display&gt;2011 Jul&lt;/_date_display&gt;&lt;_doi&gt;10.2967/jnumed.111.087452&lt;/_doi&gt;&lt;_impact_factor&gt;   9.300&lt;/_impact_factor&gt;&lt;_isbn&gt;1535-5667 (Electronic); 0161-5505 (Linking)&lt;/_isbn&gt;&lt;_issue&gt;7&lt;/_issue&gt;&lt;_journal&gt;J Nucl Med&lt;/_journal&gt;&lt;_language&gt;English&lt;/_language&gt;&lt;_modified&gt;64953967&lt;/_modified&gt;&lt;_pages&gt;1020-7&lt;/_pages&gt;&lt;_social_category&gt;核医学(1)&lt;/_social_category&gt;&lt;_subject_headings&gt;Adult; Aged; Aged, 80 and over; Angiography; Arteries/metabolism; Biological Transport; Calcinosis/*diagnostic imaging; Female; Fluorine Radioisotopes; *Fluorodeoxyglucose F18/metabolism; Humans; Inflammation/diagnostic imaging; Male; Middle Aged; Minerals/*metabolism; Plaque, Atherosclerotic/*diagnosis/diagnostic imaging/metabolism; *Positron-Emission Tomography; Radioactive Tracers; Retrospective Studies; Risk Factors; *Sodium Fluoride/metabolism; *Tomography, X-Ray Computed; Young Adult&lt;/_subject_headings&gt;&lt;_tertiary_title&gt;Journal of nuclear medicine : official publication, Society of Nuclear Medicine&lt;/_tertiary_title&gt;&lt;_type_work&gt;Journal Article&lt;/_type_work&gt;&lt;_url&gt;http://www.ncbi.nlm.nih.gov/entrez/query.fcgi?cmd=Retrieve&amp;amp;db=pubmed&amp;amp;dopt=Abstract&amp;amp;list_uids=21680686&amp;amp;query_hl=1&lt;/_url&gt;&lt;_volume&gt;52&lt;/_volume&gt;&lt;/Details&gt;&lt;Extra&gt;&lt;DBUID&gt;{C4C4CA92-5C76-4191-9E6A-B9554F84DF1D}&lt;/DBUID&gt;&lt;/Extra&gt;&lt;/Item&gt;&lt;/References&gt;&lt;/Group&gt;&lt;/Citation&gt;_x000a_"/>
    <w:docVar w:name="NE.Ref{26173416-DCD7-4752-B641-0619A1C8E535}" w:val=" ADDIN NE.Ref.{26173416-DCD7-4752-B641-0619A1C8E535}&lt;Citation&gt;&lt;Group&gt;&lt;References&gt;&lt;Item&gt;&lt;ID&gt;1&lt;/ID&gt;&lt;UID&gt;{C546C017-FE3E-4B42-8B0A-6AC2A9E10F1D}&lt;/UID&gt;&lt;Title&gt;Cardiovascular Calcification&lt;/Title&gt;&lt;Template&gt;Book&lt;/Template&gt;&lt;Star&gt;0&lt;/Star&gt;&lt;Tag&gt;0&lt;/Tag&gt;&lt;Author&gt;Henein, Michael&lt;/Author&gt;&lt;Year&gt;2021&lt;/Year&gt;&lt;Details&gt;&lt;_accessed&gt;64932468&lt;/_accessed&gt;&lt;_created&gt;64932468&lt;/_created&gt;&lt;_edition&gt;1&lt;/_edition&gt;&lt;_modified&gt;65054552&lt;/_modified&gt;&lt;_pages&gt;294&lt;/_pages&gt;&lt;_place_published&gt;Cham, Switzerland&lt;/_place_published&gt;&lt;_publisher&gt;Springer&lt;/_publisher&gt;&lt;_language&gt;English&lt;/_language&gt;&lt;/Details&gt;&lt;Extra&gt;&lt;DBUID&gt;{C4C4CA92-5C76-4191-9E6A-B9554F84DF1D}&lt;/DBUID&gt;&lt;/Extra&gt;&lt;/Item&gt;&lt;/References&gt;&lt;/Group&gt;&lt;/Citation&gt;_x000a_"/>
    <w:docVar w:name="NE.Ref{2624BA2B-934E-4D54-84F4-490CE865A9E5}" w:val=" ADDIN NE.Ref.{2624BA2B-934E-4D54-84F4-490CE865A9E5} ADDIN NE.Ref.{2624BA2B-934E-4D54-84F4-490CE865A9E5}&lt;Citation&gt;&lt;Group&gt;&lt;References&gt;&lt;Item&gt;&lt;ID&gt;69&lt;/ID&gt;&lt;UID&gt;{14A25016-423B-4D0C-8B58-CA47C6CBD496}&lt;/UID&gt;&lt;Title&gt;Progressive coronary calcification despite intensive lipid-lowering treatment: a randomised controlled trial&lt;/Title&gt;&lt;Template&gt;Journal Article&lt;/Template&gt;&lt;Star&gt;0&lt;/Star&gt;&lt;Tag&gt;0&lt;/Tag&gt;&lt;Author&gt;Houslay, E S; Cowell, S J; Prescott, R J; Reid, J; Burton, J; Northridge, D B; Boon, N A; Newby, D E&lt;/Author&gt;&lt;Year&gt;2006&lt;/Year&gt;&lt;Details&gt;&lt;_accession_num&gt;16449511&lt;/_accession_num&gt;&lt;_author_adr&gt;Department of Cardiology, Royal Infirmary, Edinburgh, UK.&lt;/_author_adr&gt;&lt;_collection_scope&gt;SCIE&lt;/_collection_scope&gt;&lt;_created&gt;64955318&lt;/_created&gt;&lt;_date&gt;2006-09-01&lt;/_date&gt;&lt;_date_display&gt;2006 Sep&lt;/_date_display&gt;&lt;_doi&gt;10.1136/hrt.2005.080929&lt;/_doi&gt;&lt;_impact_factor&gt;   7.365&lt;/_impact_factor&gt;&lt;_isbn&gt;1468-201X (Electronic); 1355-6037 (Print); 1355-6037 (Linking)&lt;/_isbn&gt;&lt;_issue&gt;9&lt;/_issue&gt;&lt;_journal&gt;Heart&lt;/_journal&gt;&lt;_language&gt;eng&lt;/_language&gt;&lt;_modified&gt;64955318&lt;/_modified&gt;&lt;_pages&gt;1207-12&lt;/_pages&gt;&lt;_social_category&gt;心脏和心血管系统(2)&lt;/_social_category&gt;&lt;_subject_headings&gt;Adult; Aged; Aortic Valve Stenosis/*drug therapy; Atorvastatin; Calcinosis/*drug therapy; Coronary Artery Disease/*drug therapy; Disease Progression; Double-Blind Method; Female; Heptanoic Acids/*therapeutic use; Humans; Hydroxymethylglutaryl-CoA Reductase Inhibitors/*therapeutic use; Male; Middle Aged; Pyrroles/*therapeutic use; Tomography, Spiral Computed; Treatment Failure&lt;/_subject_headings&gt;&lt;_tertiary_title&gt;Heart (British Cardiac Society)&lt;/_tertiary_title&gt;&lt;_type_work&gt;Journal Article; Multicenter Study; Randomized Controlled Trial; Research Support, Non-U.S. Gov&amp;apos;t&lt;/_type_work&gt;&lt;_url&gt;http://www.ncbi.nlm.nih.gov/entrez/query.fcgi?cmd=Retrieve&amp;amp;db=pubmed&amp;amp;dopt=Abstract&amp;amp;list_uids=16449511&amp;amp;query_hl=1&lt;/_url&gt;&lt;_volume&gt;92&lt;/_volume&gt;&lt;/Details&gt;&lt;Extra&gt;&lt;DBUID&gt;{C4C4CA92-5C76-4191-9E6A-B9554F84DF1D}&lt;/DBUID&gt;&lt;/Extra&gt;&lt;/Item&gt;&lt;/References&gt;&lt;/Group&gt;&lt;/Citation&gt;_x000a_"/>
    <w:docVar w:name="NE.Ref{38D894E0-94BB-4AAD-8F1B-01359FCD3933}" w:val=" ADDIN NE.Ref.{38D894E0-94BB-4AAD-8F1B-01359FCD3933}&lt;Citation&gt;&lt;Group&gt;&lt;References&gt;&lt;Item&gt;&lt;ID&gt;54&lt;/ID&gt;&lt;UID&gt;{32538A04-97D9-4EB1-A296-73712ABF5885}&lt;/UID&gt;&lt;Title&gt;Prevalence of Calcification in Human Femoropopliteal Arteries and its Association with Demographics, Risk Factors, and Arterial Stiffness&lt;/Title&gt;&lt;Template&gt;Journal Article&lt;/Template&gt;&lt;Star&gt;0&lt;/Star&gt;&lt;Tag&gt;0&lt;/Tag&gt;&lt;Author&gt;Kamenskiy, A; Poulson, W; Sim, S; Reilly, A; Luo, J; MacTaggart, J&lt;/Author&gt;&lt;Year&gt;2018&lt;/Year&gt;&lt;Details&gt;&lt;_accession_num&gt;29371245&lt;/_accession_num&gt;&lt;_author_adr&gt;From the Department of Surgery, University of Nebraska Medical Center, Omaha.  alexey.kamenskiy@unmc.edu jmactaggart@unmc.edu.; From the Department of Surgery, University of Nebraska Medical Center, Omaha.; From the Department of Surgery, University of Nebraska Medical Center, Omaha.; From the Department of Surgery, University of Nebraska Medical Center, Omaha.; From the Department of Surgery, University of Nebraska Medical Center, Omaha.; From the Department of Surgery, University of Nebraska Medical Center, Omaha.  alexey.kamenskiy@unmc.edu jmactaggart@unmc.edu.&lt;/_author_adr&gt;&lt;_collection_scope&gt;SCIE&lt;/_collection_scope&gt;&lt;_created&gt;64954712&lt;/_created&gt;&lt;_date&gt;2018-04-01&lt;/_date&gt;&lt;_date_display&gt;2018 Apr&lt;/_date_display&gt;&lt;_doi&gt;10.1161/ATVBAHA.117.310490&lt;/_doi&gt;&lt;_impact_factor&gt;   8.700&lt;/_impact_factor&gt;&lt;_isbn&gt;1524-4636 (Electronic); 1079-5642 (Print); 1079-5642 (Linking)&lt;/_isbn&gt;&lt;_issue&gt;4&lt;/_issue&gt;&lt;_journal&gt;Arterioscler Thromb Vasc Biol&lt;/_journal&gt;&lt;_keywords&gt;calcification; femoropopliteal artery; prevalence; risk factors; stiffening&lt;/_keywords&gt;&lt;_language&gt;English&lt;/_language&gt;&lt;_modified&gt;65316193&lt;/_modified&gt;&lt;_ori_publication&gt;© 2018 American Heart Association, Inc.&lt;/_ori_publication&gt;&lt;_pages&gt;e48-e57&lt;/_pages&gt;&lt;_social_category&gt;血液学(1) &amp;amp; 外周血管病(1)&lt;/_social_category&gt;&lt;_subject_headings&gt;Adolescent; Adult; Age Factors; Aged; Aged, 80 and over; Databases, Factual; Elastic Tissue/pathology/physiopathology; Female; Femoral Artery/pathology/*physiopathology; Humans; Male; Middle Aged; Nebraska/epidemiology; Peripheral Arterial Disease/diagnosis/*epidemiology/*physiopathology; Popliteal Artery/pathology/*physiopathology; Prevalence; Risk Factors; Severity of Illness Index; Vascular Calcification/diagnosis/*epidemiology/*physiopathology; Vascular Remodeling; *Vascular Stiffness; Young Adult&lt;/_subject_headings&gt;&lt;_tertiary_title&gt;Arteriosclerosis, thrombosis, and vascular biology&lt;/_tertiary_title&gt;&lt;_type_work&gt;Journal Article; Research Support, N.I.H., Extramural&lt;/_type_work&gt;&lt;_url&gt;http://www.ncbi.nlm.nih.gov/entrez/query.fcgi?cmd=Retrieve&amp;amp;db=pubmed&amp;amp;dopt=Abstract&amp;amp;list_uids=29371245&amp;amp;query_hl=1&lt;/_url&gt;&lt;_volume&gt;38&lt;/_volume&gt;&lt;/Details&gt;&lt;Extra&gt;&lt;DBUID&gt;{C4C4CA92-5C76-4191-9E6A-B9554F84DF1D}&lt;/DBUID&gt;&lt;/Extra&gt;&lt;/Item&gt;&lt;/References&gt;&lt;/Group&gt;&lt;/Citation&gt;_x000a_"/>
    <w:docVar w:name="NE.Ref{3E6A2375-6898-4D37-B553-DAA4CC5F3D5B}" w:val=" ADDIN NE.Ref.{3E6A2375-6898-4D37-B553-DAA4CC5F3D5B}&lt;Citation&gt;&lt;Group&gt;&lt;References&gt;&lt;Item&gt;&lt;ID&gt;99&lt;/ID&gt;&lt;UID&gt;{D918C8B7-60B9-42F5-BD67-AF53ACC9CF4F}&lt;/UID&gt;&lt;Title&gt;Coronary Calcium: A Comprehensive Understanding of Its Biology, Use in Screening, and Interventional Management&lt;/Title&gt;&lt;Template&gt;Book&lt;/Template&gt;&lt;Star&gt;0&lt;/Star&gt;&lt;Tag&gt;0&lt;/Tag&gt;&lt;Author&gt;Finn, Aloke Virmani&lt;/Author&gt;&lt;Year&gt;2019&lt;/Year&gt;&lt;Details&gt;&lt;_accessed&gt;65054510&lt;/_accessed&gt;&lt;_created&gt;65054510&lt;/_created&gt;&lt;_edition&gt;1&lt;/_edition&gt;&lt;_modified&gt;65054510&lt;/_modified&gt;&lt;_pages&gt;272&lt;/_pages&gt;&lt;_place_published&gt;Amsterdam, Netherlands&lt;/_place_published&gt;&lt;_publisher&gt;Elsevier Science &amp;amp; Technology&lt;/_publisher&gt;&lt;_language&gt;English&lt;/_language&gt;&lt;/Details&gt;&lt;Extra&gt;&lt;DBUID&gt;{C4C4CA92-5C76-4191-9E6A-B9554F84DF1D}&lt;/DBUID&gt;&lt;/Extra&gt;&lt;/Item&gt;&lt;/References&gt;&lt;/Group&gt;&lt;/Citation&gt;_x000a_"/>
    <w:docVar w:name="NE.Ref{455BD270-06C4-481C-9260-53B6D8D65B77}" w:val=" ADDIN NE.Ref.{455BD270-06C4-481C-9260-53B6D8D65B77}&lt;Citation&gt;&lt;Group&gt;&lt;References&gt;&lt;Item&gt;&lt;ID&gt;59&lt;/ID&gt;&lt;UID&gt;{45E29BCD-BA1D-44FF-8274-C2D917A2BD1B}&lt;/UID&gt;&lt;Title&gt;Smoking, Smoking Cessation, and Measures of Subclinical Atherosclerosis in Multiple Vascular Beds in Japanese Men&lt;/Title&gt;&lt;Template&gt;Journal Article&lt;/Template&gt;&lt;Star&gt;0&lt;/Star&gt;&lt;Tag&gt;0&lt;/Tag&gt;&lt;Author&gt;Hisamatsu, T; Miura, K; Arima, H; Kadota, A; Kadowaki, S; Torii, S; Suzuki, S; Miyagawa, N; Sato, A; Yamazoe, M; Fujiyoshi, A; Ohkubo, T; Yamamoto, T; Murata, K; Abbott, R D; Sekikawa, A; Horie, M; Ueshima, H&lt;/Author&gt;&lt;Year&gt;2016&lt;/Year&gt;&lt;Details&gt;&lt;_accession_num&gt;27572823&lt;/_accession_num&gt;&lt;_author_adr&gt;Department of Environmental Medicine and Public Health, Faculty of Medicine,  Shimane University, Izumo, Japan Department of Public Health, Shiga University of  Medical Science, Otsu, Japan Department of Cardiovascular and Respiratory  Medicine, Shiga University of Medical Science, Otsu, Japan  hisataka@med.shimane-u.ac.jp.; Department of Public Health, Shiga University of Medical Science, Otsu, Japan  Center for Epidemiologic Research in Asia, Shiga University of Medical Science,  Otsu, Japan.; Department of Public Health, Shiga University of Medical Science, Otsu, Japan  Department of Preventive Medicine and Public Health, Faculty of Medicine, Fukuoka  University, Fukuoka, Japan.; Department of Public Health, Shiga University of Medical Science, Otsu, Japan  Center for Epidemiologic Research in Asia, Shiga University of Medical Science,  Otsu, Japan.; Department of Public Health, Shiga University of Medical Science, Otsu, Japan.; Department of Public Health, Shiga University of Medical Science, Otsu, Japan  Department of Cardiovascular and Respiratory Medicine, Shiga University of  Medical Science, Otsu, Japan.; Department of Public Health, Shiga University of Medical Science, Otsu, Japan.; Department of Public Health, Shiga University of Medical Science, Otsu, Japan.; Department of Public Health, Shiga University of Medical Science, Otsu, Japan.; Department of Public Health, Shiga University of Medical Science, Otsu, Japan.; Department of Public Health, Shiga University of Medical Science, Otsu, Japan.; Department of Hygiene and Public Health, Teikyo University School of Medicine,  Tokyo, Japan.; Department of Cardiovascular and Respiratory Medicine, Shiga University of  Medical Science, Otsu, Japan.; Department of Radiology, Shiga University of Medical Science, Otsu, Japan.; Center for Epidemiologic Research in Asia, Shiga University of Medical Science,  Otsu, Japan.; Department of Epidemiology, Graduate School of Public Health, University of  Pittsburgh, PA.; Department of Cardiovascular and Respiratory Medicine, Shiga University of  Medical Science, Otsu, Japan.; Department of Public Health, Shiga University of Medical Science, Otsu, Japan  Center for Epidemiologic Research in Asia, Shiga University of Medical Science,  Otsu, Japan.&lt;/_author_adr&gt;&lt;_collection_scope&gt;SCIE&lt;/_collection_scope&gt;&lt;_created&gt;64954967&lt;/_created&gt;&lt;_date&gt;2016-08-29&lt;/_date&gt;&lt;_date_display&gt;2016 Aug 29&lt;/_date_display&gt;&lt;_doi&gt;10.1161/JAHA.116.003738&lt;/_doi&gt;&lt;_impact_factor&gt;   5.400&lt;/_impact_factor&gt;&lt;_isbn&gt;2047-9980 (Electronic); 2047-9980 (Linking)&lt;/_isbn&gt;&lt;_issue&gt;9&lt;/_issue&gt;&lt;_journal&gt;J Am Heart Assoc&lt;/_journal&gt;&lt;_keywords&gt;atherosclerosis; coronary artery calcification; cumulative pack‐years exposure; prevention; smoking; smoking cessation&lt;/_keywords&gt;&lt;_language&gt;English&lt;/_language&gt;&lt;_modified&gt;65054548&lt;/_modified&gt;&lt;_ori_publication&gt;© 2016 The Authors. Published on behalf of the American Heart Association, Inc., _x000d__x000a_      by Wiley Blackwell.&lt;/_ori_publication&gt;&lt;_pages&gt;e003738&lt;/_pages&gt;&lt;_social_category&gt;心脏和心血管系统(2)&lt;/_social_category&gt;&lt;_subject_headings&gt;Adult; Aged; Ankle Brachial Index; Aortic Diseases/*epidemiology; Asian People; Asymptomatic Diseases; Atherosclerosis/*epidemiology; Carotid Artery Diseases/*epidemiology; Carotid Intima-Media Thickness; Coronary Artery Disease/*epidemiology; Cross-Sectional Studies; Humans; Japan/epidemiology; Male; Middle Aged; Odds Ratio; Peripheral Arterial Disease/*epidemiology; Plaque, Atherosclerotic/*epidemiology; Prevalence; Risk Factors; Smoking/*epidemiology; Smoking Cessation/*statistics &amp;amp; numerical data; Time Factors; Tobacco Smoking; Vascular Calcification/*epidemiology&lt;/_subject_headings&gt;&lt;_tertiary_title&gt;Journal of the American Heart Association&lt;/_tertiary_title&gt;&lt;_type_work&gt;Journal Article&lt;/_type_work&gt;&lt;_url&gt;http://www.ncbi.nlm.nih.gov/entrez/query.fcgi?cmd=Retrieve&amp;amp;db=pubmed&amp;amp;dopt=Abstract&amp;amp;list_uids=27572823&amp;amp;query_hl=1&lt;/_url&gt;&lt;_volume&gt;5&lt;/_volume&gt;&lt;/Details&gt;&lt;Extra&gt;&lt;DBUID&gt;{C4C4CA92-5C76-4191-9E6A-B9554F84DF1D}&lt;/DBUID&gt;&lt;/Extra&gt;&lt;/Item&gt;&lt;/References&gt;&lt;/Group&gt;&lt;/Citation&gt;_x000a_"/>
    <w:docVar w:name="NE.Ref{49AB0EB5-5997-4480-8510-A8A7E13D3E42}" w:val=" ADDIN NE.Ref.{49AB0EB5-5997-4480-8510-A8A7E13D3E42}&lt;Citation&gt;&lt;Group&gt;&lt;References&gt;&lt;Item&gt;&lt;ID&gt;71&lt;/ID&gt;&lt;UID&gt;{EFD2F877-4558-4283-98C3-85B6C4B6CD0A}&lt;/UID&gt;&lt;Title&gt;Impact of statins on serial coronary calcification during atheroma progression and regression&lt;/Title&gt;&lt;Template&gt;Journal Article&lt;/Template&gt;&lt;Star&gt;0&lt;/Star&gt;&lt;Tag&gt;0&lt;/Tag&gt;&lt;Author&gt;Puri, R; Nicholls, S J; Shao, M; Kataoka, Y; Uno, K; Kapadia, S R; Tuzcu, E M; Nissen, S E&lt;/Author&gt;&lt;Year&gt;2015&lt;/Year&gt;&lt;Details&gt;&lt;_accession_num&gt;25835438&lt;/_accession_num&gt;&lt;_author_adr&gt;Cleveland Clinic Coordinating Center for Clinical Research (C5R), Cleveland,  Ohio; Department of Cardiovascular Medicine, Cleveland Clinic, Cleveland, Ohio.; South Australian Health and Medical Research Institute, University of Adelaide,  Adelaide, South Australia, Australia.; Cleveland Clinic Coordinating Center for Clinical Research (C5R), Cleveland,  Ohio.; South Australian Health and Medical Research Institute, University of Adelaide,  Adelaide, South Australia, Australia.; Cleveland Clinic Coordinating Center for Clinical Research (C5R), Cleveland,  Ohio.; Department of Cardiovascular Medicine, Cleveland Clinic, Cleveland, Ohio.; Department of Cardiovascular Medicine, Cleveland Clinic, Cleveland, Ohio.; Cleveland Clinic Coordinating Center for Clinical Research (C5R), Cleveland,  Ohio; Department of Cardiovascular Medicine, Cleveland Clinic, Cleveland, Ohio.  Electronic address: nissens@ccf.org.&lt;/_author_adr&gt;&lt;_collection_scope&gt;SCIE&lt;/_collection_scope&gt;&lt;_created&gt;64955373&lt;/_created&gt;&lt;_date&gt;2015-04-07&lt;/_date&gt;&lt;_date_display&gt;2015 Apr 7&lt;/_date_display&gt;&lt;_doi&gt;10.1016/j.jacc.2015.01.036&lt;/_doi&gt;&lt;_impact_factor&gt;  24.000&lt;/_impact_factor&gt;&lt;_isbn&gt;1558-3597 (Electronic); 0735-1097 (Linking)&lt;/_isbn&gt;&lt;_issue&gt;13&lt;/_issue&gt;&lt;_journal&gt;J Am Coll Cardiol&lt;/_journal&gt;&lt;_keywords&gt;atherosclerosis; calcium; intravascular ultrasound; statins&lt;/_keywords&gt;&lt;_language&gt;English&lt;/_language&gt;&lt;_modified&gt;64955373&lt;/_modified&gt;&lt;_ori_publication&gt;Copyright © 2015 American College of Cardiology Foundation. Published by Elsevier _x000d__x000a_      Inc. All rights reserved.&lt;/_ori_publication&gt;&lt;_pages&gt;1273-1282&lt;/_pages&gt;&lt;_social_category&gt;心脏和心血管系统(1)&lt;/_social_category&gt;&lt;_subject_headings&gt;Aged; Calcium/blood; Coronary Artery Disease/diagnostic imaging/*drug therapy/pathology; Coronary Vessels/diagnostic imaging/*drug effects/pathology; Disease Progression; Female; Humans; Hydroxymethylglutaryl-CoA Reductase Inhibitors/*therapeutic use; Male; Middle Aged; Plaque, Atherosclerotic/diagnostic imaging/*drug therapy/pathology; Prospective Studies; Ultrasonography, Interventional; Vascular Calcification/diagnostic imaging/*drug therapy&lt;/_subject_headings&gt;&lt;_tertiary_title&gt;Journal of the American College of Cardiology&lt;/_tertiary_title&gt;&lt;_type_work&gt;Journal Article&lt;/_type_work&gt;&lt;_url&gt;http://www.ncbi.nlm.nih.gov/entrez/query.fcgi?cmd=Retrieve&amp;amp;db=pubmed&amp;amp;dopt=Abstract&amp;amp;list_uids=25835438&amp;amp;query_hl=1&lt;/_url&gt;&lt;_volume&gt;65&lt;/_volume&gt;&lt;/Details&gt;&lt;Extra&gt;&lt;DBUID&gt;{C4C4CA92-5C76-4191-9E6A-B9554F84DF1D}&lt;/DBUID&gt;&lt;/Extra&gt;&lt;/Item&gt;&lt;/References&gt;&lt;/Group&gt;&lt;/Citation&gt;_x000a_"/>
    <w:docVar w:name="NE.Ref{4E8716AA-3641-4810-A203-D5302D2DF069}" w:val=" ADDIN NE.Ref.{4E8716AA-3641-4810-A203-D5302D2DF069}&lt;Citation&gt;&lt;Group&gt;&lt;References&gt;&lt;Item&gt;&lt;ID&gt;76&lt;/ID&gt;&lt;UID&gt;{99D457DD-F12B-4007-98C7-562DFB2C886D}&lt;/UID&gt;&lt;Title&gt;The Comparison of the Associations of Lipoprotein(a) and the Atherogenic Index of Plasma With Coronary Artery Calcification in Patients Without High LDL-C: A Comparative Analysis&lt;/Title&gt;&lt;Template&gt;Journal Article&lt;/Template&gt;&lt;Star&gt;0&lt;/Star&gt;&lt;Tag&gt;0&lt;/Tag&gt;&lt;Author&gt;Hong, S P; Kim, C Y; Jung, H W&lt;/Author&gt;&lt;Year&gt;2023&lt;/Year&gt;&lt;Details&gt;&lt;_accession_num&gt;37265852&lt;/_accession_num&gt;&lt;_author_adr&gt;Department of Cardiology, Daegu Catholic University Medical Center, Daegu, Korea.; Department of Cardiology, Daegu Catholic University Medical Center, Daegu, Korea.; Department of Cardiology, Daegu Catholic University Medical Center, Daegu, Korea.&lt;/_author_adr&gt;&lt;_created&gt;64982872&lt;/_created&gt;&lt;_date&gt;2023-05-01&lt;/_date&gt;&lt;_date_display&gt;2023 May&lt;/_date_display&gt;&lt;_doi&gt;10.12997/jla.2023.12.2.152&lt;/_doi&gt;&lt;_isbn&gt;2287-2892 (Print); 2288-2561 (Electronic); 2287-2892 (Linking)&lt;/_isbn&gt;&lt;_issue&gt;2&lt;/_issue&gt;&lt;_journal&gt;J Lipid Atheroscler&lt;/_journal&gt;&lt;_keywords&gt;Lipoprotein (a); Low density lipoprotein cholesterol; Vascular calcification&lt;/_keywords&gt;&lt;_language&gt;English&lt;/_language&gt;&lt;_modified&gt;64982873&lt;/_modified&gt;&lt;_ori_publication&gt;Copyright © 2023 The Korean Society of Lipid and Atherosclerosis.&lt;/_ori_publication&gt;&lt;_pages&gt;152-163&lt;/_pages&gt;&lt;_tertiary_title&gt;Journal of lipid and atherosclerosis&lt;/_tertiary_title&gt;&lt;_type_work&gt;Journal Article&lt;/_type_work&gt;&lt;_url&gt;http://www.ncbi.nlm.nih.gov/entrez/query.fcgi?cmd=Retrieve&amp;amp;db=pubmed&amp;amp;dopt=Abstract&amp;amp;list_uids=37265852&amp;amp;query_hl=1&lt;/_url&gt;&lt;_volume&gt;12&lt;/_volume&gt;&lt;/Details&gt;&lt;Extra&gt;&lt;DBUID&gt;{C4C4CA92-5C76-4191-9E6A-B9554F84DF1D}&lt;/DBUID&gt;&lt;/Extra&gt;&lt;/Item&gt;&lt;/References&gt;&lt;/Group&gt;&lt;/Citation&gt;_x000a_"/>
    <w:docVar w:name="NE.Ref{5A0C9ECF-3180-48B7-AD39-8CAE5F1B58C5}" w:val=" ADDIN NE.Ref.{5A0C9ECF-3180-48B7-AD39-8CAE5F1B58C5}&lt;Citation&gt;&lt;Group&gt;&lt;References&gt;&lt;Item&gt;&lt;ID&gt;99&lt;/ID&gt;&lt;UID&gt;{D918C8B7-60B9-42F5-BD67-AF53ACC9CF4F}&lt;/UID&gt;&lt;Title&gt;Coronary Calcium: A Comprehensive Understanding of Its Biology, Use in Screening, and Interventional Management&lt;/Title&gt;&lt;Template&gt;Book&lt;/Template&gt;&lt;Star&gt;0&lt;/Star&gt;&lt;Tag&gt;0&lt;/Tag&gt;&lt;Author&gt;Finn, Aloke Virmani&lt;/Author&gt;&lt;Year&gt;2019&lt;/Year&gt;&lt;Details&gt;&lt;_accessed&gt;65054510&lt;/_accessed&gt;&lt;_created&gt;65054510&lt;/_created&gt;&lt;_edition&gt;1&lt;/_edition&gt;&lt;_modified&gt;65054510&lt;/_modified&gt;&lt;_pages&gt;272&lt;/_pages&gt;&lt;_place_published&gt;Amsterdam, Netherlands&lt;/_place_published&gt;&lt;_publisher&gt;Elsevier Science &amp;amp; Technology&lt;/_publisher&gt;&lt;_language&gt;English&lt;/_language&gt;&lt;/Details&gt;&lt;Extra&gt;&lt;DBUID&gt;{C4C4CA92-5C76-4191-9E6A-B9554F84DF1D}&lt;/DBUID&gt;&lt;/Extra&gt;&lt;/Item&gt;&lt;/References&gt;&lt;/Group&gt;&lt;/Citation&gt;_x000a_"/>
    <w:docVar w:name="NE.Ref{5ACAADC9-F050-4CCF-AAB5-72C0114B5399}" w:val=" ADDIN NE.Ref.{5ACAADC9-F050-4CCF-AAB5-72C0114B5399}&lt;Citation&gt;&lt;Group&gt;&lt;References&gt;&lt;Item&gt;&lt;ID&gt;70&lt;/ID&gt;&lt;UID&gt;{B5AE5458-6B55-4613-B9B1-2C3A14F70E99}&lt;/UID&gt;&lt;Title&gt;Statins use and coronary artery plaque composition: results from the International Multicenter CONFIRM Registry&lt;/Title&gt;&lt;Template&gt;Journal Article&lt;/Template&gt;&lt;Star&gt;0&lt;/Star&gt;&lt;Tag&gt;0&lt;/Tag&gt;&lt;Author&gt;Nakazato, R; Gransar, H; Berman, D S; Cheng, V Y; Lin, F Y; Achenbach, S; Al-Mallah, M; Budoff, M J; Cademartiri, F; Callister, T Q; Chang, H J; Cury, R C; Chinnaiyan, K; Chow, B J; Delago, A; Hadamitzky, M; Hausleiter, J; Kaufmann, P; Maffei, E; Raff, G; Shaw, L J; Villines, T C; Dunning, A; Feuchtner, G; Kim, Y J; Leipsic, J; Min, J K&lt;/Author&gt;&lt;Year&gt;2012&lt;/Year&gt;&lt;Details&gt;&lt;_accession_num&gt;22981406&lt;/_accession_num&gt;&lt;_author_adr&gt;Cedars-Sinai Heart Institute and Department of Imaging, Cedars-Sinai Medical  Center, Los Angeles, CA, USA. Ryo.Nakazato@cshs.org&lt;/_author_adr&gt;&lt;_collection_scope&gt;SCIE&lt;/_collection_scope&gt;&lt;_created&gt;64955364&lt;/_created&gt;&lt;_date&gt;2012-11-01&lt;/_date&gt;&lt;_date_display&gt;2012 Nov&lt;/_date_display&gt;&lt;_doi&gt;10.1016/j.atherosclerosis.2012.08.002&lt;/_doi&gt;&lt;_impact_factor&gt;   5.300&lt;/_impact_factor&gt;&lt;_isbn&gt;1879-1484 (Electronic); 0021-9150 (Print); 0021-9150 (Linking)&lt;/_isbn&gt;&lt;_issue&gt;1&lt;/_issue&gt;&lt;_journal&gt;Atherosclerosis&lt;/_journal&gt;&lt;_language&gt;English&lt;/_language&gt;&lt;_modified&gt;65054345&lt;/_modified&gt;&lt;_ori_publication&gt;Copyright © 2012 Elsevier Ireland Ltd. All rights reserved.&lt;/_ori_publication&gt;&lt;_pages&gt;148-53&lt;/_pages&gt;&lt;_social_category&gt;心脏和心血管系统(3) &amp;amp; 外周血管病(2)&lt;/_social_category&gt;&lt;_subject_headings&gt;Aged; Calcinosis/diagnostic imaging; Coronary Angiography/methods; Coronary Artery Disease/diagnostic imaging/*prevention &amp;amp; control; Coronary Vessels/*pathology; Female; Humans; Hydroxymethylglutaryl-CoA Reductase Inhibitors/*therapeutic use; Male; Middle Aged; Plaque, Atherosclerotic/*pathology/prevention &amp;amp; control; Registries; Tomography, X-Ray Computed/methods&lt;/_subject_headings&gt;&lt;_tertiary_title&gt;Atherosclerosis&lt;/_tertiary_title&gt;&lt;_type_work&gt;Journal Article; Multicenter Study; Research Support, Non-U.S. Gov&amp;apos;t&lt;/_type_work&gt;&lt;_url&gt;http://www.ncbi.nlm.nih.gov/entrez/query.fcgi?cmd=Retrieve&amp;amp;db=pubmed&amp;amp;dopt=Abstract&amp;amp;list_uids=22981406&amp;amp;query_hl=1&lt;/_url&gt;&lt;_volume&gt;225&lt;/_volume&gt;&lt;/Details&gt;&lt;Extra&gt;&lt;DBUID&gt;{C4C4CA92-5C76-4191-9E6A-B9554F84DF1D}&lt;/DBUID&gt;&lt;/Extra&gt;&lt;/Item&gt;&lt;/References&gt;&lt;/Group&gt;&lt;/Citation&gt;_x000a_"/>
    <w:docVar w:name="NE.Ref{5BA34CE5-AEB9-4A57-AE3E-FB5BA1BB1255}" w:val=" ADDIN NE.Ref.{5BA34CE5-AEB9-4A57-AE3E-FB5BA1BB1255}&lt;Citation&gt;&lt;Group&gt;&lt;References&gt;&lt;Item&gt;&lt;ID&gt;95&lt;/ID&gt;&lt;UID&gt;{5EC450C9-B5F9-4604-BA24-F1E6E9FB6216}&lt;/UID&gt;&lt;Title&gt;eGFR and coronary artery calcification in chronic kidney disease&lt;/Title&gt;&lt;Template&gt;Journal Article&lt;/Template&gt;&lt;Star&gt;0&lt;/Star&gt;&lt;Tag&gt;0&lt;/Tag&gt;&lt;Author&gt;Hyun, Y Y; Kim, H; Oh, K H; Ahn, C; Park, S K; Chae, D W; Oh, Y K; Choi, K H; Han, S H; Kim, Y H; Lee, K B&lt;/Author&gt;&lt;Year&gt;2019&lt;/Year&gt;&lt;Details&gt;&lt;_accession_num&gt;30866052&lt;/_accession_num&gt;&lt;_author_adr&gt;Department of Internal Medicine, Sungkyunkwan University School of Medicine,  Kangbuk Samsung Hospital, Seoul, Korea.; Department of Internal Medicine, Sungkyunkwan University School of Medicine,  Kangbuk Samsung Hospital, Seoul, Korea.; Department of Internal Medicine, Seoul National University College of Medicine,  Seoul, Korea.; Department of Internal Medicine, Seoul National University College of Medicine,  Seoul, Korea.; Department of Preventive Medicine, Seoul National University College of Medicine,  Seoul, Korea.; Department of Internal Medicine, Seoul National University Bundang Hospital,  Seongnam, Gyeonggi-do, Korea.; Department of Internal Medicine, Seoul National University Boramae Medical  Center, Seoul, Korea.; Department of Internal Medicine, Yonsei University College of Medicine, Seoul,  Korea.; Department of Internal Medicine, Yonsei University College of Medicine, Seoul,  Korea.; Department of Internal Medicine, Busan Paik Hospital, Inje University, Busan,  Korea.; Department of Internal Medicine, Sungkyunkwan University School of Medicine,  Kangbuk Samsung Hospital, Seoul, Korea.&lt;/_author_adr&gt;&lt;_collection_scope&gt;SCIE&lt;/_collection_scope&gt;&lt;_created&gt;65046074&lt;/_created&gt;&lt;_date&gt;2019-06-01&lt;/_date&gt;&lt;_date_display&gt;2019 Jun&lt;/_date_display&gt;&lt;_doi&gt;10.1111/eci.13101&lt;/_doi&gt;&lt;_impact_factor&gt;   5.500&lt;/_impact_factor&gt;&lt;_isbn&gt;1365-2362 (Electronic); 0014-2972 (Linking)&lt;/_isbn&gt;&lt;_issue&gt;6&lt;/_issue&gt;&lt;_journal&gt;Eur J Clin Invest&lt;/_journal&gt;&lt;_keywords&gt;chronic kidney disease; coronary artery calcification; eGFR; renal function&lt;/_keywords&gt;&lt;_language&gt;English&lt;/_language&gt;&lt;_modified&gt;65046074&lt;/_modified&gt;&lt;_ori_publication&gt;© 2019 Stichting European Society for Clinical Investigation Journal Foundation.&lt;/_ori_publication&gt;&lt;_pages&gt;e13101&lt;/_pages&gt;&lt;_social_category&gt;医学：内科(3) &amp;amp; 医学：研究与实验(3)&lt;/_social_category&gt;&lt;_tertiary_title&gt;European journal of clinical investigation&lt;/_tertiary_title&gt;&lt;_type_work&gt;Journal Article&lt;/_type_work&gt;&lt;_url&gt;http://www.ncbi.nlm.nih.gov/entrez/query.fcgi?cmd=Retrieve&amp;amp;db=pubmed&amp;amp;dopt=Abstract&amp;amp;list_uids=30866052&amp;amp;query_hl=1&lt;/_url&gt;&lt;_volume&gt;49&lt;/_volume&gt;&lt;/Details&gt;&lt;Extra&gt;&lt;DBUID&gt;{C4C4CA92-5C76-4191-9E6A-B9554F84DF1D}&lt;/DBUID&gt;&lt;/Extra&gt;&lt;/Item&gt;&lt;/References&gt;&lt;/Group&gt;&lt;/Citation&gt;_x000a_"/>
    <w:docVar w:name="NE.Ref{5E19392F-3392-4539-B988-C7A8E01257CB}" w:val=" ADDIN NE.Ref.{5E19392F-3392-4539-B988-C7A8E01257CB}&lt;Citation&gt;&lt;Group&gt;&lt;References&gt;&lt;Item&gt;&lt;ID&gt;91&lt;/ID&gt;&lt;UID&gt;{75EEBF78-7E5E-4FDA-884C-048992B7AB1C}&lt;/UID&gt;&lt;Title&gt;Molecular mechanisms of vascular calcification: lessons learned from the aorta&lt;/Title&gt;&lt;Template&gt;Journal Article&lt;/Template&gt;&lt;Star&gt;0&lt;/Star&gt;&lt;Tag&gt;0&lt;/Tag&gt;&lt;Author&gt;Shao, J S; Cai, J; Towler, D A&lt;/Author&gt;&lt;Year&gt;2006&lt;/Year&gt;&lt;Details&gt;&lt;_accession_num&gt;16601233&lt;/_accession_num&gt;&lt;_author_adr&gt;Washington University School of Medicine, Campus Box 8301, 660 South Euclid Ave,  St. Louis, MO 63110, USA.&lt;/_author_adr&gt;&lt;_collection_scope&gt;SCIE&lt;/_collection_scope&gt;&lt;_created&gt;65021743&lt;/_created&gt;&lt;_date&gt;2006-07-01&lt;/_date&gt;&lt;_date_display&gt;2006 Jul&lt;/_date_display&gt;&lt;_doi&gt;10.1161/01.ATV.0000220441.42041.20&lt;/_doi&gt;&lt;_impact_factor&gt;   8.700&lt;/_impact_factor&gt;&lt;_isbn&gt;1524-4636 (Electronic); 1079-5642 (Linking)&lt;/_isbn&gt;&lt;_issue&gt;7&lt;/_issue&gt;&lt;_journal&gt;Arterioscler Thromb Vasc Biol&lt;/_journal&gt;&lt;_language&gt;English&lt;/_language&gt;&lt;_modified&gt;65021743&lt;/_modified&gt;&lt;_pages&gt;1423-30&lt;/_pages&gt;&lt;_social_category&gt;血液学(1) &amp;amp; 外周血管病(1)&lt;/_social_category&gt;&lt;_subject_headings&gt;Animals; Aorta/*metabolism; Aortic Valve; Calcinosis/*etiology; Calcium/*metabolism; Diabetic Angiopathies/*complications/*metabolism; Heart Valve Diseases/etiology; Humans; Vascular Diseases/*etiology&lt;/_subject_headings&gt;&lt;_tertiary_title&gt;Arteriosclerosis, thrombosis, and vascular biology&lt;/_tertiary_title&gt;&lt;_type_work&gt;Journal Article; Research Support, N.I.H., Extramural; Research Support, Non-U.S. Gov&amp;apos;t; Review&lt;/_type_work&gt;&lt;_url&gt;http://www.ncbi.nlm.nih.gov/entrez/query.fcgi?cmd=Retrieve&amp;amp;db=pubmed&amp;amp;dopt=Abstract&amp;amp;list_uids=16601233&amp;amp;query_hl=1&lt;/_url&gt;&lt;_volume&gt;26&lt;/_volume&gt;&lt;/Details&gt;&lt;Extra&gt;&lt;DBUID&gt;{C4C4CA92-5C76-4191-9E6A-B9554F84DF1D}&lt;/DBUID&gt;&lt;/Extra&gt;&lt;/Item&gt;&lt;/References&gt;&lt;/Group&gt;&lt;/Citation&gt;_x000a_"/>
    <w:docVar w:name="NE.Ref{7791BCF0-C551-4962-B659-6172C2DE1967}" w:val=" ADDIN NE.Ref.{7791BCF0-C551-4962-B659-6172C2DE1967}&lt;Citation&gt;&lt;Group&gt;&lt;References&gt;&lt;Item&gt;&lt;ID&gt;99&lt;/ID&gt;&lt;UID&gt;{D918C8B7-60B9-42F5-BD67-AF53ACC9CF4F}&lt;/UID&gt;&lt;Title&gt;Coronary Calcium: A Comprehensive Understanding of Its Biology, Use in Screening, and Interventional Management&lt;/Title&gt;&lt;Template&gt;Book&lt;/Template&gt;&lt;Star&gt;0&lt;/Star&gt;&lt;Tag&gt;0&lt;/Tag&gt;&lt;Author&gt;Finn, Aloke Virmani&lt;/Author&gt;&lt;Year&gt;2019&lt;/Year&gt;&lt;Details&gt;&lt;_accessed&gt;65054510&lt;/_accessed&gt;&lt;_created&gt;65054510&lt;/_created&gt;&lt;_edition&gt;1&lt;/_edition&gt;&lt;_modified&gt;65054510&lt;/_modified&gt;&lt;_pages&gt;272&lt;/_pages&gt;&lt;_place_published&gt;Amsterdam, Netherlands&lt;/_place_published&gt;&lt;_publisher&gt;Elsevier Science &amp;amp; Technology&lt;/_publisher&gt;&lt;_language&gt;English&lt;/_language&gt;&lt;/Details&gt;&lt;Extra&gt;&lt;DBUID&gt;{C4C4CA92-5C76-4191-9E6A-B9554F84DF1D}&lt;/DBUID&gt;&lt;/Extra&gt;&lt;/Item&gt;&lt;/References&gt;&lt;/Group&gt;&lt;/Citation&gt;_x000a_"/>
    <w:docVar w:name="NE.Ref{7DEFB216-2AC0-43B0-94AB-B1718452337C}" w:val=" ADDIN NE.Ref.{7DEFB216-2AC0-43B0-94AB-B1718452337C}&lt;Citation&gt;&lt;Group&gt;&lt;References&gt;&lt;Item&gt;&lt;ID&gt;97&lt;/ID&gt;&lt;UID&gt;{92007061-8380-4CA7-9154-04D9E53DAC86}&lt;/UID&gt;&lt;Title&gt;Lipoprotein particle profiles compared with standard lipids in association with coronary artery calcification in the general Japanese population&lt;/Title&gt;&lt;Template&gt;Journal Article&lt;/Template&gt;&lt;Star&gt;0&lt;/Star&gt;&lt;Tag&gt;0&lt;/Tag&gt;&lt;Author&gt;Hisamatsu, T; Fujiyoshi, A; Miura, K; Ohkubo, T; Kadota, A; Kadowaki, S; Kadowaki, T; Yamamoto, T; Miyagawa, N; Zaid, M; Torii, S; Takashima, N; Murakami, Y; Okamura, T; Horie, M; Ueshima, H&lt;/Author&gt;&lt;Year&gt;2014&lt;/Year&gt;&lt;Details&gt;&lt;_accession_num&gt;25105580&lt;/_accession_num&gt;&lt;_author_adr&gt;Center for Epidemiologic Research in Asia, Shiga University of Medical Science,  Otsu, Japan; Department of Public Health, Shiga University of Medical Science,  Otsu, Japan; Department of Cardiovascular and Respiratory Medicine, Shiga  University of Medical Science, Otsu, Japan. Electronic address:  hisataka@belle.shiga-med.ac.jp.; Department of Public Health, Shiga University of Medical Science, Otsu, Japan.; Center for Epidemiologic Research in Asia, Shiga University of Medical Science,  Otsu, Japan; Department of Public Health, Shiga University of Medical Science,  Otsu, Japan.; Department of Hygiene and Public Health, Teikyo University School of Medicine,  Tokyo, Japan.; Center for Epidemiologic Research in Asia, Shiga University of Medical Science,  Otsu, Japan; Department of Public Health, Shiga University of Medical Science,  Otsu, Japan.; Department of Public Health, Shiga University of Medical Science, Otsu, Japan.; Department of Public Health, Shiga University of Medical Science, Otsu, Japan.; Department of Cardiovascular and Respiratory Medicine, Shiga University of  Medical Science, Otsu, Japan.; Department of Public Health, Shiga University of Medical Science, Otsu, Japan.; Department of Public Health, Shiga University of Medical Science, Otsu, Japan.; Department of Public Health, Shiga University of Medical Science, Otsu, Japan.; Department of Public Health, Shiga University of Medical Science, Otsu, Japan.; Center for Epidemiologic Research in Asia, Shiga University of Medical Science,  Otsu, Japan; Department of Medical Statistics, Faculty of Medicine, Toho  University, Tokyo, Japan; Department of Medical Statistics, Shiga University of  Medical Science, Otsu, Japan.; Department of Preventive Medicine and Public Health, Keio University, Tokyo,  Japan.; Department of Cardiovascular and Respiratory Medicine, Shiga University of  Medical Science, Otsu, Japan.; Center for Epidemiologic Research in Asia, Shiga University of Medical Science,  Otsu, Japan; Department of Public Health, Shiga University of Medical Science,  Otsu, Japan.&lt;/_author_adr&gt;&lt;_collection_scope&gt;SCIE&lt;/_collection_scope&gt;&lt;_created&gt;65046106&lt;/_created&gt;&lt;_date&gt;2014-10-01&lt;/_date&gt;&lt;_date_display&gt;2014 Oct&lt;/_date_display&gt;&lt;_doi&gt;10.1016/j.atherosclerosis.2014.07.019&lt;/_doi&gt;&lt;_impact_factor&gt;   5.300&lt;/_impact_factor&gt;&lt;_isbn&gt;1879-1484 (Electronic); 0021-9150 (Linking)&lt;/_isbn&gt;&lt;_issue&gt;2&lt;/_issue&gt;&lt;_journal&gt;Atherosclerosis&lt;/_journal&gt;&lt;_keywords&gt;Coronary artery calcification; Epidemiology; Lipids; Lipoproteins&lt;/_keywords&gt;&lt;_language&gt;English&lt;/_language&gt;&lt;_modified&gt;65594744&lt;/_modified&gt;&lt;_ori_publication&gt;Copyright © 2014 Elsevier Ireland Ltd. All rights reserved.&lt;/_ori_publication&gt;&lt;_pages&gt;237-43&lt;/_pages&gt;&lt;_social_category&gt;心脏和心血管系统(3) &amp;amp; 外周血管病(2)&lt;/_social_category&gt;&lt;_subject_headings&gt;Adult; Aged; Blood Glucose/analysis; Calcinosis/*blood/epidemiology; Comorbidity; Coronary Artery Disease/*blood/epidemiology; Cross-Sectional Studies; Humans; Hypertension/epidemiology; Japan/epidemiology; Lipids/*blood; Lipoproteins/*blood; Male; Middle Aged; Multidetector Computed Tomography; Odds Ratio; Particle Size; Proton Magnetic Resonance Spectroscopy; Risk Factors; Smoking/epidemiology&lt;/_subject_headings&gt;&lt;_tertiary_title&gt;Atherosclerosis&lt;/_tertiary_title&gt;&lt;_type_work&gt;Journal Article; Research Support, Non-U.S. Gov&amp;apos;t&lt;/_type_work&gt;&lt;_url&gt;http://www.ncbi.nlm.nih.gov/entrez/query.fcgi?cmd=Retrieve&amp;amp;db=pubmed&amp;amp;dopt=Abstract&amp;amp;list_uids=25105580&amp;amp;query_hl=1&lt;/_url&gt;&lt;_volume&gt;236&lt;/_volume&gt;&lt;/Details&gt;&lt;Extra&gt;&lt;DBUID&gt;{C4C4CA92-5C76-4191-9E6A-B9554F84DF1D}&lt;/DBUID&gt;&lt;/Extra&gt;&lt;/Item&gt;&lt;/References&gt;&lt;/Group&gt;&lt;/Citation&gt;_x000a_"/>
    <w:docVar w:name="NE.Ref{83E6A51A-6417-4F9C-860D-992C228F45A6}" w:val=" ADDIN NE.Ref.{83E6A51A-6417-4F9C-860D-992C228F45A6}&lt;Citation&gt;&lt;Group&gt;&lt;References&gt;&lt;Item&gt;&lt;ID&gt;75&lt;/ID&gt;&lt;UID&gt;{5338EAFC-1D70-4A84-AA66-6DDC917FFCE1}&lt;/UID&gt;&lt;Title&gt;Statin Trials, Cardiovascular Events, and Coronary Artery Calcification: Implications for a Trial-Based Approach to Statin Therapy in MESA&lt;/Title&gt;&lt;Template&gt;Journal Article&lt;/Template&gt;&lt;Star&gt;0&lt;/Star&gt;&lt;Tag&gt;0&lt;/Tag&gt;&lt;Author&gt;Mortensen, M B; Falk, E; Li, D; Nasir, K; Blaha, M J; Sandfort, V; Rodriguez, C J; Ouyang, P; Budoff, M&lt;/Author&gt;&lt;Year&gt;2018&lt;/Year&gt;&lt;Details&gt;&lt;_accession_num&gt;28624395&lt;/_accession_num&gt;&lt;_author_adr&gt;Department of Cardiology, Aarhus University Hospital, Aarhus, Denmark. Electronic  address: martin.bodtker.mortensen@clin.au.dk.; Department of Cardiology, Aarhus University Hospital, Aarhus, Denmark.; Division of Cardiology, Los Angeles Biomedical Research Institute at Harbor-UCLA,  University of California Los Angeles, Torrance, California.; Center for Healthcare Advancement and Outcomes, Baptist Health South Florida,  Miami, Florida; Department of Epidemiology, Robert Stempel College of Public  Health and Department of Medicine, Herbert Wertheim College of Medicine, Florida  International University, Florida; The Johns Hopkins Ciccarone Center for the  Prevention of Heart Disease, Baltimore, Maryland.; The Johns Hopkins Ciccarone Center for the Prevention of Heart Disease,  Baltimore, Maryland.; Radiology and Imaging Sciences, National Institutes of Health, Bethesda,  Maryland.; Division of Public Health Sciences, Department of Epidemiology and Prevention,  Wake Forest School of Medicine, Winston-Salem, North Carolina.; The John Hopkins University School of Medicine, Baltimore, Maryland.; Division of Cardiology, Los Angeles Biomedical Research Institute at Harbor-UCLA,  University of California Los Angeles, Torrance, California.&lt;/_author_adr&gt;&lt;_collection_scope&gt;SCIE&lt;/_collection_scope&gt;&lt;_created&gt;64981478&lt;/_created&gt;&lt;_date&gt;2018-02-01&lt;/_date&gt;&lt;_date_display&gt;2018 Feb&lt;/_date_display&gt;&lt;_doi&gt;10.1016/j.jcmg.2017.01.029&lt;/_doi&gt;&lt;_impact_factor&gt;  14.000&lt;/_impact_factor&gt;&lt;_isbn&gt;1876-7591 (Electronic); 1936-878X (Print); 1876-7591 (Linking)&lt;/_isbn&gt;&lt;_issue&gt;2 Pt 1&lt;/_issue&gt;&lt;_journal&gt;JACC Cardiovasc Imaging&lt;/_journal&gt;&lt;_keywords&gt;cardiovascular disease; guideline; lipoproteins; primary prevention; statin&lt;/_keywords&gt;&lt;_language&gt;English&lt;/_language&gt;&lt;_modified&gt;65334875&lt;/_modified&gt;&lt;_ori_publication&gt;Copyright © 2018 American College of Cardiology Foundation. Published by Elsevier _x000d__x000a_      Inc. All rights reserved.&lt;/_ori_publication&gt;&lt;_pages&gt;221-230&lt;/_pages&gt;&lt;_social_category&gt;心脏和心血管系统(1) &amp;amp; 核医学(1)&lt;/_social_category&gt;&lt;_subject_headings&gt;Aged; Aged, 80 and over; Clinical Decision-Making; Coronary Angiography; Coronary Artery Disease/diagnostic imaging/ethnology/*prevention &amp;amp; control; Dyslipidemias/diagnosis/*drug therapy/ethnology; Evidence-Based Medicine/*methods; Female; Humans; Hydroxymethylglutaryl-CoA Reductase Inhibitors/*therapeutic use; Male; Middle Aged; Patient Selection; Primary Prevention/*methods; *Randomized Controlled Trials as Topic; Risk Factors; Time Factors; Treatment Outcome; United States/epidemiology; Vascular Calcification/diagnostic imaging/ethnology/*prevention &amp;amp; control&lt;/_subject_headings&gt;&lt;_tertiary_title&gt;JACC. Cardiovascular imaging&lt;/_tertiary_title&gt;&lt;_type_work&gt;Journal Article; Multicenter Study; Research Support, N.I.H., Extramural&lt;/_type_work&gt;&lt;_url&gt;http://www.ncbi.nlm.nih.gov/entrez/query.fcgi?cmd=Retrieve&amp;amp;db=pubmed&amp;amp;dopt=Abstract&amp;amp;list_uids=28624395&amp;amp;query_hl=1&lt;/_url&gt;&lt;_volume&gt;11&lt;/_volume&gt;&lt;/Details&gt;&lt;Extra&gt;&lt;DBUID&gt;{C4C4CA92-5C76-4191-9E6A-B9554F84DF1D}&lt;/DBUID&gt;&lt;/Extra&gt;&lt;/Item&gt;&lt;/References&gt;&lt;/Group&gt;&lt;/Citation&gt;_x000a_"/>
    <w:docVar w:name="NE.Ref{8A6030EA-4949-45C7-9D6C-C97EA72A4136}" w:val=" ADDIN NE.Ref.{8A6030EA-4949-45C7-9D6C-C97EA72A4136}&lt;Citation&gt;&lt;Group&gt;&lt;References&gt;&lt;Item&gt;&lt;ID&gt;67&lt;/ID&gt;&lt;UID&gt;{7F5955B9-3DB5-40A2-946C-8815D62C7918}&lt;/UID&gt;&lt;Title&gt;Does the impact of smoking on coronary heart disease differ by low-density lipoprotein cholesterol level?: the Atherosclerosis Risk in Communities (ARIC) Study&lt;/Title&gt;&lt;Template&gt;Journal Article&lt;/Template&gt;&lt;Star&gt;0&lt;/Star&gt;&lt;Tag&gt;0&lt;/Tag&gt;&lt;Author&gt;Hozawa, A; Folsom, A R; Sharrett, A R; Payne, T J; Chambless, L E&lt;/Author&gt;&lt;Year&gt;2006&lt;/Year&gt;&lt;Details&gt;&lt;_accession_num&gt;16936419&lt;/_accession_num&gt;&lt;_author_adr&gt;Division of Epidemiology and Community Health, School of Public Health,  University of Minnesota, MN, USA. ahozawa@belle.shiga-med.ac.jp&lt;/_author_adr&gt;&lt;_collection_scope&gt;SCIE&lt;/_collection_scope&gt;&lt;_created&gt;64955289&lt;/_created&gt;&lt;_date&gt;2006-09-01&lt;/_date&gt;&lt;_date_display&gt;2006 Sep&lt;/_date_display&gt;&lt;_doi&gt;10.1253/circj.70.1105&lt;/_doi&gt;&lt;_impact_factor&gt;   3.300&lt;/_impact_factor&gt;&lt;_isbn&gt;1346-9843 (Print); 1346-9843 (Linking)&lt;/_isbn&gt;&lt;_issue&gt;9&lt;/_issue&gt;&lt;_journal&gt;Circ J&lt;/_journal&gt;&lt;_language&gt;English&lt;/_language&gt;&lt;_modified&gt;65328005&lt;/_modified&gt;&lt;_pages&gt;1105-10&lt;/_pages&gt;&lt;_social_category&gt;心脏和心血管系统(3)&lt;/_social_category&gt;&lt;_subject_headings&gt;Cholesterol, LDL/*blood; Coronary Artery Disease/*blood/epidemiology/etiology; Female; Humans; Incidence; Male; Middle Aged; Predictive Value of Tests; Prospective Studies; Risk Factors; Smoking/adverse effects/*blood&lt;/_subject_headings&gt;&lt;_tertiary_title&gt;Circulation journal : official journal of the Japanese Circulation Society&lt;/_tertiary_title&gt;&lt;_type_work&gt;Comparative Study; Journal Article; Multicenter Study; Research Support, N.I.H., Extramural; Research Support, Non-U.S. Gov&amp;apos;t&lt;/_type_work&gt;&lt;_url&gt;http://www.ncbi.nlm.nih.gov/entrez/query.fcgi?cmd=Retrieve&amp;amp;db=pubmed&amp;amp;dopt=Abstract&amp;amp;list_uids=16936419&amp;amp;query_hl=1&lt;/_url&gt;&lt;_volume&gt;70&lt;/_volume&gt;&lt;/Details&gt;&lt;Extra&gt;&lt;DBUID&gt;{C4C4CA92-5C76-4191-9E6A-B9554F84DF1D}&lt;/DBUID&gt;&lt;/Extra&gt;&lt;/Item&gt;&lt;/References&gt;&lt;/Group&gt;&lt;/Citation&gt;_x000a_"/>
    <w:docVar w:name="NE.Ref{8DB5EAFD-544E-4CAA-8633-1713F779C152}" w:val=" ADDIN NE.Ref.{8DB5EAFD-544E-4CAA-8633-1713F779C152}&lt;Citation&gt;&lt;Group&gt;&lt;References&gt;&lt;Item&gt;&lt;ID&gt;58&lt;/ID&gt;&lt;UID&gt;{89DEAD69-FFB6-4013-BC8A-CCE34C6B233D}&lt;/UID&gt;&lt;Title&gt;Delineation of prevalence and risk factors for early coronary artery disease by electron beam computed tomography in young adults with type 1 diabetes&lt;/Title&gt;&lt;Template&gt;Journal Article&lt;/Template&gt;&lt;Star&gt;0&lt;/Star&gt;&lt;Tag&gt;0&lt;/Tag&gt;&lt;Author&gt;Starkman, H S; Cable, G; Hala, V; Hecht, H; Donnelly, C M&lt;/Author&gt;&lt;Year&gt;2003&lt;/Year&gt;&lt;Details&gt;&lt;_accession_num&gt;12547875&lt;/_accession_num&gt;&lt;_author_adr&gt;BD Diabetes Center for Children and Adolescents, Atlantic Health System,  Morristown, New Jersey 07962, USA. harold.starkman@ahsys.org&lt;/_author_adr&gt;&lt;_collection_scope&gt;SCIE&lt;/_collection_scope&gt;&lt;_created&gt;64954952&lt;/_created&gt;&lt;_date&gt;2003-02-01&lt;/_date&gt;&lt;_date_display&gt;2003 Feb&lt;/_date_display&gt;&lt;_doi&gt;10.2337/diacare.26.2.433&lt;/_doi&gt;&lt;_impact_factor&gt;  16.200&lt;/_impact_factor&gt;&lt;_isbn&gt;0149-5992 (Print); 0149-5992 (Linking)&lt;/_isbn&gt;&lt;_issue&gt;2&lt;/_issue&gt;&lt;_journal&gt;Diabetes Care&lt;/_journal&gt;&lt;_language&gt;English&lt;/_language&gt;&lt;_modified&gt;64954954&lt;/_modified&gt;&lt;_pages&gt;433-6&lt;/_pages&gt;&lt;_social_category&gt;内分泌学与代谢(1)&lt;/_social_category&gt;&lt;_subject_headings&gt;Adolescent; Adult; Calcinosis/diagnostic imaging/epidemiology/etiology; Coronary Disease/*diagnostic imaging/*epidemiology/etiology; *Diabetes Mellitus, Type 1/blood; Diabetic Angiopathies/*diagnostic imaging/*epidemiology/etiology; Female; Humans; Lipoprotein(a)/blood; Male; Prevalence; Prognosis; Risk Assessment; Smoking/adverse effects; *Tomography, X-Ray Computed&lt;/_subject_headings&gt;&lt;_tertiary_title&gt;Diabetes care&lt;/_tertiary_title&gt;&lt;_type_work&gt;Journal Article; Research Support, Non-U.S. Gov&amp;apos;t&lt;/_type_work&gt;&lt;_url&gt;http://www.ncbi.nlm.nih.gov/entrez/query.fcgi?cmd=Retrieve&amp;amp;db=pubmed&amp;amp;dopt=Abstract&amp;amp;list_uids=12547875&amp;amp;query_hl=1&lt;/_url&gt;&lt;_volume&gt;26&lt;/_volume&gt;&lt;/Details&gt;&lt;Extra&gt;&lt;DBUID&gt;{C4C4CA92-5C76-4191-9E6A-B9554F84DF1D}&lt;/DBUID&gt;&lt;/Extra&gt;&lt;/Item&gt;&lt;/References&gt;&lt;/Group&gt;&lt;/Citation&gt;_x000a_"/>
    <w:docVar w:name="NE.Ref{A6A67945-FD18-4CCD-B819-F0BC55C59358}" w:val=" ADDIN NE.Ref.{A6A67945-FD18-4CCD-B819-F0BC55C59358} ADDIN NE.Ref.{A6A67945-FD18-4CCD-B819-F0BC55C59358}&lt;Citation&gt;&lt;Group&gt;&lt;References&gt;&lt;Item&gt;&lt;ID&gt;68&lt;/ID&gt;&lt;UID&gt;{B12F78BB-9F89-43A9-84B6-FDE316B877E8}&lt;/UID&gt;&lt;Title&gt;Effect of HMG-CoA reductase inhibitors on coronary artery disease as assessed by electron-beam computed tomography&lt;/Title&gt;&lt;Template&gt;Journal Article&lt;/Template&gt;&lt;Star&gt;0&lt;/Star&gt;&lt;Tag&gt;0&lt;/Tag&gt;&lt;Author&gt;Callister, T Q; Raggi, P; Cooil, B; Lippolis, N J; Russo, D J&lt;/Author&gt;&lt;Year&gt;1998&lt;/Year&gt;&lt;Details&gt;&lt;_accession_num&gt;9869668&lt;/_accession_num&gt;&lt;_author_adr&gt;Electron Beam Tomography Research Foundation, Hendersonville, TN 37075, USA.&lt;/_author_adr&gt;&lt;_collection_scope&gt;SCIE&lt;/_collection_scope&gt;&lt;_created&gt;64955312&lt;/_created&gt;&lt;_date&gt;1998-12-31&lt;/_date&gt;&lt;_date_display&gt;1998 Dec 31&lt;/_date_display&gt;&lt;_doi&gt;10.1056/NEJM199812313392703&lt;/_doi&gt;&lt;_impact_factor&gt; 176.079&lt;/_impact_factor&gt;&lt;_isbn&gt;0028-4793 (Print); 0028-4793 (Linking)&lt;/_isbn&gt;&lt;_issue&gt;27&lt;/_issue&gt;&lt;_journal&gt;N Engl J Med&lt;/_journal&gt;&lt;_language&gt;eng&lt;/_language&gt;&lt;_modified&gt;64955318&lt;/_modified&gt;&lt;_pages&gt;1972-8&lt;/_pages&gt;&lt;_social_category&gt;医学：内科(1)&lt;/_social_category&gt;&lt;_subject_headings&gt;Adult; Aged; Anticholesteremic Agents/therapeutic use; Calcinosis/*diagnostic imaging/drug therapy/pathology; Cholesterol, LDL/blood/drug effects; Coronary Artery Disease/diagnostic imaging/*drug therapy/pathology; Disease Progression; Female; Humans; Hydroxymethylglutaryl-CoA Reductase Inhibitors/*therapeutic use; Hypercholesterolemia/drug therapy; Male; Middle Aged; Regression Analysis; Retrospective Studies; *Tomography, X-Ray Computed&lt;/_subject_headings&gt;&lt;_tertiary_title&gt;The New England journal of medicine&lt;/_tertiary_title&gt;&lt;_type_work&gt;Journal Article; Research Support, Non-U.S. Gov&amp;apos;t&lt;/_type_work&gt;&lt;_url&gt;http://www.ncbi.nlm.nih.gov/entrez/query.fcgi?cmd=Retrieve&amp;amp;db=pubmed&amp;amp;dopt=Abstract&amp;amp;list_uids=9869668&amp;amp;query_hl=1&lt;/_url&gt;&lt;_volume&gt;339&lt;/_volume&gt;&lt;/Details&gt;&lt;Extra&gt;&lt;DBUID&gt;{C4C4CA92-5C76-4191-9E6A-B9554F84DF1D}&lt;/DBUID&gt;&lt;/Extra&gt;&lt;/Item&gt;&lt;/References&gt;&lt;/Group&gt;&lt;/Citation&gt;_x000a_"/>
    <w:docVar w:name="NE.Ref{AB4FF32F-029B-4CAC-9391-A816A4FE9CB0}" w:val=" ADDIN NE.Ref.{AB4FF32F-029B-4CAC-9391-A816A4FE9CB0}&lt;Citation&gt;&lt;Group&gt;&lt;References&gt;&lt;Item&gt;&lt;ID&gt;53&lt;/ID&gt;&lt;UID&gt;{56398AB6-4F16-44F1-A225-74E63DD548D3}&lt;/UID&gt;&lt;Title&gt;Coronary calcification in patients with chronic kidney disease and coronary artery disease&lt;/Title&gt;&lt;Template&gt;Journal Article&lt;/Template&gt;&lt;Star&gt;0&lt;/Star&gt;&lt;Tag&gt;0&lt;/Tag&gt;&lt;Author&gt;Nakamura, S; Ishibashi-Ueda, H; Niizuma, S; Yoshihara, F; Horio, T; Kawano, Y&lt;/Author&gt;&lt;Year&gt;2009&lt;/Year&gt;&lt;Details&gt;&lt;_accession_num&gt;19833908&lt;/_accession_num&gt;&lt;_author_adr&gt;Division of Hypertension and Nephrology, Department of Medicine, National  Cardiovascular Center, Suita, Osaka, Japan. snakamur@hsp.ncvc.go.jp&lt;/_author_adr&gt;&lt;_collection_scope&gt;SCIE&lt;/_collection_scope&gt;&lt;_created&gt;64954021&lt;/_created&gt;&lt;_date&gt;2009-12-01&lt;/_date&gt;&lt;_date_display&gt;2009 Dec&lt;/_date_display&gt;&lt;_doi&gt;10.2215/CJN.04320709&lt;/_doi&gt;&lt;_impact_factor&gt;   9.800&lt;/_impact_factor&gt;&lt;_isbn&gt;1555-905X (Electronic); 1555-9041 (Print); 1555-9041 (Linking)&lt;/_isbn&gt;&lt;_issue&gt;12&lt;/_issue&gt;&lt;_journal&gt;Clin J Am Soc Nephrol&lt;/_journal&gt;&lt;_language&gt;English&lt;/_language&gt;&lt;_modified&gt;65307793&lt;/_modified&gt;&lt;_pages&gt;1892-900&lt;/_pages&gt;&lt;_social_category&gt;泌尿学与肾脏学(1)&lt;/_social_category&gt;&lt;_subject_headings&gt;Aged; Aged, 80 and over; Autopsy; Calcinosis/*mortality/pathology/*physiopathology; Coronary Artery Disease/*mortality/pathology/*physiopathology; Coronary Vessels/pathology; Female; Humans; Logistic Models; Male; Middle Aged; Morbidity; Multivariate Analysis; Necrosis; Prevalence; Renal Insufficiency, Chronic/*mortality/pathology/*physiopathology; Risk Factors&lt;/_subject_headings&gt;&lt;_tertiary_title&gt;Clinical journal of the American Society of Nephrology : CJASN&lt;/_tertiary_title&gt;&lt;_type_work&gt;Journal Article&lt;/_type_work&gt;&lt;_url&gt;http://www.ncbi.nlm.nih.gov/entrez/query.fcgi?cmd=Retrieve&amp;amp;db=pubmed&amp;amp;dopt=Abstract&amp;amp;list_uids=19833908&amp;amp;query_hl=1&lt;/_url&gt;&lt;_volume&gt;4&lt;/_volume&gt;&lt;/Details&gt;&lt;Extra&gt;&lt;DBUID&gt;{C4C4CA92-5C76-4191-9E6A-B9554F84DF1D}&lt;/DBUID&gt;&lt;/Extra&gt;&lt;/Item&gt;&lt;/References&gt;&lt;/Group&gt;&lt;/Citation&gt;_x000a_"/>
    <w:docVar w:name="NE.Ref{B0A5DF57-A136-481F-83C3-925EBB378074}" w:val=" ADDIN NE.Ref.{B0A5DF57-A136-481F-83C3-925EBB378074}&lt;Citation&gt;&lt;Group&gt;&lt;References&gt;&lt;Item&gt;&lt;ID&gt;99&lt;/ID&gt;&lt;UID&gt;{D918C8B7-60B9-42F5-BD67-AF53ACC9CF4F}&lt;/UID&gt;&lt;Title&gt;Coronary Calcium: A Comprehensive Understanding of Its Biology, Use in Screening, and Interventional Management&lt;/Title&gt;&lt;Template&gt;Book&lt;/Template&gt;&lt;Star&gt;0&lt;/Star&gt;&lt;Tag&gt;0&lt;/Tag&gt;&lt;Author&gt;Finn, Aloke Virmani&lt;/Author&gt;&lt;Year&gt;2019&lt;/Year&gt;&lt;Details&gt;&lt;_accessed&gt;65054510&lt;/_accessed&gt;&lt;_created&gt;65054510&lt;/_created&gt;&lt;_edition&gt;1&lt;/_edition&gt;&lt;_modified&gt;65054510&lt;/_modified&gt;&lt;_pages&gt;272&lt;/_pages&gt;&lt;_place_published&gt;Amsterdam, Netherlands&lt;/_place_published&gt;&lt;_publisher&gt;Elsevier Science &amp;amp; Technology&lt;/_publisher&gt;&lt;_language&gt;English&lt;/_language&gt;&lt;/Details&gt;&lt;Extra&gt;&lt;DBUID&gt;{C4C4CA92-5C76-4191-9E6A-B9554F84DF1D}&lt;/DBUID&gt;&lt;/Extra&gt;&lt;/Item&gt;&lt;/References&gt;&lt;/Group&gt;&lt;/Citation&gt;_x000a_"/>
    <w:docVar w:name="NE.Ref{B61293CE-6B44-459A-B558-11C71EDEBC86}" w:val=" ADDIN NE.Ref.{B61293CE-6B44-459A-B558-11C71EDEBC86}&lt;Citation&gt;&lt;Group&gt;&lt;References&gt;&lt;Item&gt;&lt;ID&gt;50&lt;/ID&gt;&lt;UID&gt;{87D4CE21-5DF4-4FCE-9BF2-9C2FDCD0657A}&lt;/UID&gt;&lt;Title&gt;Association of linear ¹⁸F-sodium fluoride accumulation in femoral arteries as a measure of diffuse calcification with cardiovascular risk factors: a PET/CT study&lt;/Title&gt;&lt;Template&gt;Journal Article&lt;/Template&gt;&lt;Star&gt;0&lt;/Star&gt;&lt;Tag&gt;0&lt;/Tag&gt;&lt;Author&gt;Janssen, T; Bannas, P; Herrmann, J; Veldhoen, S; Busch, J D; Treszl, A; Münster, S; Mester, J; Derlin, T&lt;/Author&gt;&lt;Year&gt;2013&lt;/Year&gt;&lt;Details&gt;&lt;_accession_num&gt;23588862&lt;/_accession_num&gt;&lt;_author_adr&gt;Department of Nuclear Medicine, University Medical Center Hamburg-Eppendorf,  Hamburg, Germany.&lt;/_author_adr&gt;&lt;_collection_scope&gt;SCIE&lt;/_collection_scope&gt;&lt;_created&gt;64953963&lt;/_created&gt;&lt;_date&gt;2013-08-01&lt;/_date&gt;&lt;_date_display&gt;2013 Aug&lt;/_date_display&gt;&lt;_doi&gt;10.1007/s12350-013-9680-8&lt;/_doi&gt;&lt;_impact_factor&gt;   2.400&lt;/_impact_factor&gt;&lt;_isbn&gt;1532-6551 (Electronic); 1071-3581 (Linking)&lt;/_isbn&gt;&lt;_issue&gt;4&lt;/_issue&gt;&lt;_journal&gt;J Nucl Cardiol&lt;/_journal&gt;&lt;_language&gt;English&lt;/_language&gt;&lt;_modified&gt;65046070&lt;/_modified&gt;&lt;_pages&gt;569-77&lt;/_pages&gt;&lt;_social_category&gt;心脏和心血管系统(3) &amp;amp; 核医学(3)&lt;/_social_category&gt;&lt;_subject_headings&gt;Adult; Aged; Aged, 80 and over; Calcinosis/diagnostic imaging; Cardiovascular Diseases/diagnostic imaging; Diabetes Complications/diagnosis; Female; Femoral Artery/*diagnostic imaging/*metabolism; Fluorine Radioisotopes/*pharmacokinetics; Humans; Hypercholesterolemia/complications; Hypertension/complications; Male; Middle Aged; Multimodal Imaging; Neoplasms/complications/diagnostic imaging; Positron-Emission Tomography; Prevalence; Reproducibility of Results; Risk Factors; Smoking/adverse effects; Sodium Fluoride/*pharmacokinetics; Tomography, X-Ray Computed; Young Adult&lt;/_subject_headings&gt;&lt;_tertiary_title&gt;Journal of nuclear cardiology : official publication of the American Society of _x000d__x000a_      Nuclear Cardiology&lt;/_tertiary_title&gt;&lt;_type_work&gt;Journal Article&lt;/_type_work&gt;&lt;_url&gt;http://www.ncbi.nlm.nih.gov/entrez/query.fcgi?cmd=Retrieve&amp;amp;db=pubmed&amp;amp;dopt=Abstract&amp;amp;list_uids=23588862&amp;amp;query_hl=1&lt;/_url&gt;&lt;_volume&gt;20&lt;/_volume&gt;&lt;/Details&gt;&lt;Extra&gt;&lt;DBUID&gt;{C4C4CA92-5C76-4191-9E6A-B9554F84DF1D}&lt;/DBUID&gt;&lt;/Extra&gt;&lt;/Item&gt;&lt;/References&gt;&lt;/Group&gt;&lt;/Citation&gt;_x000a_"/>
    <w:docVar w:name="NE.Ref{C590FCF9-6E97-4DD1-B27C-0C35445AB35E}" w:val=" ADDIN NE.Ref.{C590FCF9-6E97-4DD1-B27C-0C35445AB35E}&lt;Citation&gt;&lt;Group&gt;&lt;References&gt;&lt;Item&gt;&lt;ID&gt;56&lt;/ID&gt;&lt;UID&gt;{4A217A68-CCB2-4E7B-AF5D-C6DFA5E7809C}&lt;/UID&gt;&lt;Title&gt;Coronary artery calcification: pathophysiology, epidemiology, imaging methods, and clinical implications. A statement for health professionals from the American Heart Association. Writing Group&lt;/Title&gt;&lt;Template&gt;Journal Article&lt;/Template&gt;&lt;Star&gt;0&lt;/Star&gt;&lt;Tag&gt;0&lt;/Tag&gt;&lt;Author&gt;Wexler, L; Brundage, B; Crouse, J; Detrano, R; Fuster, V; Maddahi, J; Rumberger, J; Stanford, W; White, R; Taubert, K&lt;/Author&gt;&lt;Year&gt;1996&lt;/Year&gt;&lt;Details&gt;&lt;_accession_num&gt;8790070&lt;/_accession_num&gt;&lt;_author_adr&gt;Office of Scientific Affairs, American Heart Association, Dallas, TX 75231-4596,  USA.&lt;/_author_adr&gt;&lt;_collection_scope&gt;SCIE&lt;/_collection_scope&gt;&lt;_created&gt;64954933&lt;/_created&gt;&lt;_date&gt;1996-09-01&lt;/_date&gt;&lt;_date_display&gt;1996 Sep 1&lt;/_date_display&gt;&lt;_doi&gt;10.1161/01.cir.94.5.1175&lt;/_doi&gt;&lt;_impact_factor&gt;  37.800&lt;/_impact_factor&gt;&lt;_isbn&gt;0009-7322 (Print); 0009-7322 (Linking)&lt;/_isbn&gt;&lt;_issue&gt;5&lt;/_issue&gt;&lt;_journal&gt;Circulation&lt;/_journal&gt;&lt;_language&gt;English&lt;/_language&gt;&lt;_modified&gt;65046070&lt;/_modified&gt;&lt;_pages&gt;1175-92&lt;/_pages&gt;&lt;_social_category&gt;心脏和心血管系统(1) &amp;amp; 外周血管病(1)&lt;/_social_category&gt;&lt;_subject_headings&gt;Calcinosis/*diagnosis/epidemiology/etiology; Calcium/physiology; Coronary Disease/*diagnosis/epidemiology/etiology; Humans; Magnetic Resonance Imaging; Reproducibility of Results; Tomography, X-Ray Computed&lt;/_subject_headings&gt;&lt;_tertiary_title&gt;Circulation&lt;/_tertiary_title&gt;&lt;_type_work&gt;Journal Article&lt;/_type_work&gt;&lt;_url&gt;http://www.ncbi.nlm.nih.gov/entrez/query.fcgi?cmd=Retrieve&amp;amp;db=pubmed&amp;amp;dopt=Abstract&amp;amp;list_uids=8790070&amp;amp;query_hl=1&lt;/_url&gt;&lt;_volume&gt;94&lt;/_volume&gt;&lt;/Details&gt;&lt;Extra&gt;&lt;DBUID&gt;{C4C4CA92-5C76-4191-9E6A-B9554F84DF1D}&lt;/DBUID&gt;&lt;/Extra&gt;&lt;/Item&gt;&lt;/References&gt;&lt;/Group&gt;&lt;/Citation&gt;_x000a_"/>
    <w:docVar w:name="NE.Ref{C8BCCD87-FF36-4B60-B2E2-254E210EFCF9}" w:val=" ADDIN NE.Ref.{C8BCCD87-FF36-4B60-B2E2-254E210EFCF9}&lt;Citation&gt;&lt;Group&gt;&lt;References&gt;&lt;Item&gt;&lt;ID&gt;72&lt;/ID&gt;&lt;UID&gt;{B3999FBA-8680-46A6-842C-DF11ED00CE09}&lt;/UID&gt;&lt;Title&gt;Risk factors for the progression of coronary artery calcification in asymptomatic subjects: results from the Multi-Ethnic Study of Atherosclerosis (MESA)&lt;/Title&gt;&lt;Template&gt;Journal Article&lt;/Template&gt;&lt;Star&gt;0&lt;/Star&gt;&lt;Tag&gt;0&lt;/Tag&gt;&lt;Author&gt;Kronmal, R A; McClelland, R L; Detrano, R; Shea, S; Lima, J A; Cushman, M; Bild, D E; Burke, G L&lt;/Author&gt;&lt;Year&gt;2007&lt;/Year&gt;&lt;Details&gt;&lt;_accession_num&gt;17502571&lt;/_accession_num&gt;&lt;_author_adr&gt;Department of Biostatistics, University of Washington, 6200 NE 74th St, Seattle,  WA 98115, USA.&lt;/_author_adr&gt;&lt;_collection_scope&gt;SCIE&lt;/_collection_scope&gt;&lt;_created&gt;64955407&lt;/_created&gt;&lt;_date&gt;2007-05-29&lt;/_date&gt;&lt;_date_display&gt;2007 May 29&lt;/_date_display&gt;&lt;_doi&gt;10.1161/CIRCULATIONAHA.106.674143&lt;/_doi&gt;&lt;_impact_factor&gt;  37.800&lt;/_impact_factor&gt;&lt;_isbn&gt;1524-4539 (Electronic); 0009-7322 (Linking)&lt;/_isbn&gt;&lt;_issue&gt;21&lt;/_issue&gt;&lt;_journal&gt;Circulation&lt;/_journal&gt;&lt;_language&gt;English&lt;/_language&gt;&lt;_modified&gt;65594487&lt;/_modified&gt;&lt;_pages&gt;2722-30&lt;/_pages&gt;&lt;_social_category&gt;心脏和心血管系统(1) &amp;amp; 外周血管病(1)&lt;/_social_category&gt;&lt;_subject_headings&gt;Adult; Age Factors; Aged; Aged, 80 and over; Calcinosis/*epidemiology/pathology; Cohort Studies; Coronary Artery Disease/epidemiology/etiology/*pathology; Coronary Vessels/*pathology; Disease Progression; Ethnicity; Female; Humans; Incidence; Male; Middle Aged; Racial Groups; Risk Factors&lt;/_subject_headings&gt;&lt;_tertiary_title&gt;Circulation&lt;/_tertiary_title&gt;&lt;_type_work&gt;Journal Article; Research Support, N.I.H., Extramural&lt;/_type_work&gt;&lt;_url&gt;http://www.ncbi.nlm.nih.gov/entrez/query.fcgi?cmd=Retrieve&amp;amp;db=pubmed&amp;amp;dopt=Abstract&amp;amp;list_uids=17502571&amp;amp;query_hl=1&lt;/_url&gt;&lt;_volume&gt;115&lt;/_volume&gt;&lt;/Details&gt;&lt;Extra&gt;&lt;DBUID&gt;{C4C4CA92-5C76-4191-9E6A-B9554F84DF1D}&lt;/DBUID&gt;&lt;/Extra&gt;&lt;/Item&gt;&lt;/References&gt;&lt;/Group&gt;&lt;/Citation&gt;_x000a_"/>
    <w:docVar w:name="NE.Ref{D0914F9A-054E-4E4E-B977-11AD2994A3DF}" w:val=" ADDIN NE.Ref.{D0914F9A-054E-4E4E-B977-11AD2994A3DF}&lt;Citation&gt;&lt;Group&gt;&lt;References&gt;&lt;Item&gt;&lt;ID&gt;72&lt;/ID&gt;&lt;UID&gt;{B3999FBA-8680-46A6-842C-DF11ED00CE09}&lt;/UID&gt;&lt;Title&gt;Risk factors for the progression of coronary artery calcification in asymptomatic subjects: results from the Multi-Ethnic Study of Atherosclerosis (MESA)&lt;/Title&gt;&lt;Template&gt;Journal Article&lt;/Template&gt;&lt;Star&gt;0&lt;/Star&gt;&lt;Tag&gt;0&lt;/Tag&gt;&lt;Author&gt;Kronmal, R A; McClelland, R L; Detrano, R; Shea, S; Lima, J A; Cushman, M; Bild, D E; Burke, G L&lt;/Author&gt;&lt;Year&gt;2007&lt;/Year&gt;&lt;Details&gt;&lt;_accession_num&gt;17502571&lt;/_accession_num&gt;&lt;_author_adr&gt;Department of Biostatistics, University of Washington, 6200 NE 74th St, Seattle,  WA 98115, USA.&lt;/_author_adr&gt;&lt;_collection_scope&gt;SCIE&lt;/_collection_scope&gt;&lt;_created&gt;64955407&lt;/_created&gt;&lt;_date&gt;2007-05-29&lt;/_date&gt;&lt;_date_display&gt;2007 May 29&lt;/_date_display&gt;&lt;_doi&gt;10.1161/CIRCULATIONAHA.106.674143&lt;/_doi&gt;&lt;_impact_factor&gt;  37.800&lt;/_impact_factor&gt;&lt;_isbn&gt;1524-4539 (Electronic); 0009-7322 (Linking)&lt;/_isbn&gt;&lt;_issue&gt;21&lt;/_issue&gt;&lt;_journal&gt;Circulation&lt;/_journal&gt;&lt;_language&gt;English&lt;/_language&gt;&lt;_modified&gt;65594487&lt;/_modified&gt;&lt;_pages&gt;2722-30&lt;/_pages&gt;&lt;_social_category&gt;心脏和心血管系统(1) &amp;amp; 外周血管病(1)&lt;/_social_category&gt;&lt;_subject_headings&gt;Adult; Age Factors; Aged; Aged, 80 and over; Calcinosis/*epidemiology/pathology; Cohort Studies; Coronary Artery Disease/epidemiology/etiology/*pathology; Coronary Vessels/*pathology; Disease Progression; Ethnicity; Female; Humans; Incidence; Male; Middle Aged; Racial Groups; Risk Factors&lt;/_subject_headings&gt;&lt;_tertiary_title&gt;Circulation&lt;/_tertiary_title&gt;&lt;_type_work&gt;Journal Article; Research Support, N.I.H., Extramural&lt;/_type_work&gt;&lt;_url&gt;http://www.ncbi.nlm.nih.gov/entrez/query.fcgi?cmd=Retrieve&amp;amp;db=pubmed&amp;amp;dopt=Abstract&amp;amp;list_uids=17502571&amp;amp;query_hl=1&lt;/_url&gt;&lt;_volume&gt;115&lt;/_volume&gt;&lt;/Details&gt;&lt;Extra&gt;&lt;DBUID&gt;{C4C4CA92-5C76-4191-9E6A-B9554F84DF1D}&lt;/DBUID&gt;&lt;/Extra&gt;&lt;/Item&gt;&lt;/References&gt;&lt;/Group&gt;&lt;/Citation&gt;_x000a_"/>
    <w:docVar w:name="NE.Ref{D1902E04-977F-489D-B0B9-FCFF2A7D66CB}" w:val=" ADDIN NE.Ref.{D1902E04-977F-489D-B0B9-FCFF2A7D66CB}&lt;Citation&gt;&lt;Group&gt;&lt;References&gt;&lt;Item&gt;&lt;ID&gt;90&lt;/ID&gt;&lt;UID&gt;{1C8C64DF-16FD-4603-9561-C36BC04BB2F2}&lt;/UID&gt;&lt;Title&gt;Effect of intensive versus standard lipid-lowering treatment with atorvastatin on the progression of calcified coronary atherosclerosis over 12 months: a multicenter, randomized, double-blind trial&lt;/Title&gt;&lt;Template&gt;Journal Article&lt;/Template&gt;&lt;Star&gt;0&lt;/Star&gt;&lt;Tag&gt;0&lt;/Tag&gt;&lt;Author&gt;Schmermund, A; Achenbach, S; Budde, T; Buziashvili, Y; Förster, A; Friedrich, G; Henein, M; Kerkhoff, G; Knollmann, F; Kukharchuk, V; Lahiri, A; Leischik, R; Moshage, W; Schartl, M; Siffert, W; Steinhagen-Thiessen, E; Sinitsyn, V; Vogt, A; Wiedeking, B; Erbel, R&lt;/Author&gt;&lt;Year&gt;2006&lt;/Year&gt;&lt;Details&gt;&lt;_accession_num&gt;16415377&lt;/_accession_num&gt;&lt;_author_adr&gt;Department of Cardiology, University Clinic Essen, Essen, Germany.  A.Schmermund@ccb.de&lt;/_author_adr&gt;&lt;_collection_scope&gt;SCIE&lt;/_collection_scope&gt;&lt;_created&gt;64994354&lt;/_created&gt;&lt;_date&gt;2006-01-24&lt;/_date&gt;&lt;_date_display&gt;2006 Jan 24&lt;/_date_display&gt;&lt;_doi&gt;10.1161/CIRCULATIONAHA.105.568147&lt;/_doi&gt;&lt;_impact_factor&gt;  37.800&lt;/_impact_factor&gt;&lt;_isbn&gt;1524-4539 (Electronic); 0009-7322 (Linking)&lt;/_isbn&gt;&lt;_issue&gt;3&lt;/_issue&gt;&lt;_journal&gt;Circulation&lt;/_journal&gt;&lt;_language&gt;English&lt;/_language&gt;&lt;_modified&gt;65594744&lt;/_modified&gt;&lt;_pages&gt;427-37&lt;/_pages&gt;&lt;_social_category&gt;心脏和心血管系统(1) &amp;amp; 外周血管病(1)&lt;/_social_category&gt;&lt;_subject_headings&gt;Adult; Aged; Aged, 80 and over; Anticholesteremic Agents/*administration &amp;amp; dosage/adverse effects; Atorvastatin; Calcinosis/*drug therapy/epidemiology; Cholesterol, LDL/blood; Coronary Artery Disease/*drug therapy/epidemiology; Double-Blind Method; Female; Heptanoic Acids/*administration &amp;amp; dosage/adverse effects; Humans; Male; Middle Aged; Pyrroles/*administration &amp;amp; dosage/adverse effects; Risk Factors; Treatment Outcome&lt;/_subject_headings&gt;&lt;_tertiary_title&gt;Circulation&lt;/_tertiary_title&gt;&lt;_type_work&gt;Journal Article; Multicenter Study; Randomized Controlled Trial; Research Support, Non-U.S. Gov&amp;apos;t&lt;/_type_work&gt;&lt;_url&gt;http://www.ncbi.nlm.nih.gov/entrez/query.fcgi?cmd=Retrieve&amp;amp;db=pubmed&amp;amp;dopt=Abstract&amp;amp;list_uids=16415377&amp;amp;query_hl=1&lt;/_url&gt;&lt;_volume&gt;113&lt;/_volume&gt;&lt;/Details&gt;&lt;Extra&gt;&lt;DBUID&gt;{C4C4CA92-5C76-4191-9E6A-B9554F84DF1D}&lt;/DBUID&gt;&lt;/Extra&gt;&lt;/Item&gt;&lt;/References&gt;&lt;/Group&gt;&lt;/Citation&gt;_x000a_"/>
    <w:docVar w:name="NE.Ref{DF232E67-DBB4-435B-B9E2-F86009C19FE9}" w:val=" ADDIN NE.Ref.{DF232E67-DBB4-435B-B9E2-F86009C19FE9}&lt;Citation&gt;&lt;Group&gt;&lt;References&gt;&lt;Item&gt;&lt;ID&gt;89&lt;/ID&gt;&lt;UID&gt;{9EB387F3-66BE-4AD3-9A10-DDA967D6F4A6}&lt;/UID&gt;&lt;Title&gt;Remnant Cholesterol and the Risk of Coronary Artery Calcium Progression: Insights From the CARDIA and MESA Study&lt;/Title&gt;&lt;Template&gt;Journal Article&lt;/Template&gt;&lt;Star&gt;0&lt;/Star&gt;&lt;Tag&gt;0&lt;/Tag&gt;&lt;Author&gt;Hao, Q Y; Gao, J W; Yuan, Z M; Gao, M; Wang, J F; Schiele, F; Zhang, S L; Liu, P M&lt;/Author&gt;&lt;Year&gt;2022&lt;/Year&gt;&lt;Details&gt;&lt;_accession_num&gt;35861979&lt;/_accession_num&gt;&lt;_author_adr&gt;Department of Cardiology (Q.-Y.H., J.-W.G., J.-F.W., P.-M.L.), Sun Yat-sen  Memorial Hospital, Sun Yat-sen University, Guangzhou, China.; Department of Cardiology (Q.-Y.H., J.-W.G., J.-F.W., P.-M.L.), Sun Yat-sen  Memorial Hospital, Sun Yat-sen University, Guangzhou, China.; Department of Clinical Nutrition (Z.-M.Y.), Sun Yat-sen Memorial Hospital, Sun  Yat-sen University, Guangzhou, China.; Department of Radiology (M.G.), Sun Yat-sen Memorial Hospital, Sun Yat-sen  University, Guangzhou, China.; Department of Cardiology (Q.-Y.H., J.-W.G., J.-F.W., P.-M.L.), Sun Yat-sen  Memorial Hospital, Sun Yat-sen University, Guangzhou, China.; Department of Cardiology, University Hospital Jean-Minjoz, Besançon, France  (F.S.).; Department of Endocrinology (S.-L.Z.), Sun Yat-sen Memorial Hospital, Sun Yat-sen  University, Guangzhou, China.; Department of Cardiology (Q.-Y.H., J.-W.G., J.-F.W., P.-M.L.), Sun Yat-sen  Memorial Hospital, Sun Yat-sen University, Guangzhou, China.&lt;/_author_adr&gt;&lt;_collection_scope&gt;SCIE&lt;/_collection_scope&gt;&lt;_created&gt;64990068&lt;/_created&gt;&lt;_date&gt;2022-07-01&lt;/_date&gt;&lt;_date_display&gt;2022 Jul&lt;/_date_display&gt;&lt;_doi&gt;10.1161/CIRCIMAGING.122.014116&lt;/_doi&gt;&lt;_impact_factor&gt;   7.500&lt;/_impact_factor&gt;&lt;_isbn&gt;1942-0080 (Electronic); 1941-9651 (Linking)&lt;/_isbn&gt;&lt;_issue&gt;7&lt;/_issue&gt;&lt;_journal&gt;Circ Cardiovasc Imaging&lt;/_journal&gt;&lt;_keywords&gt;atherosclerosis; cardiovascular diseases; cholesterol; risk factors; vascular calcification&lt;/_keywords&gt;&lt;_language&gt;English&lt;/_language&gt;&lt;_modified&gt;65316431&lt;/_modified&gt;&lt;_pages&gt;e014116&lt;/_pages&gt;&lt;_social_category&gt;心脏和心血管系统(2) &amp;amp; 核医学(1)&lt;/_social_category&gt;&lt;_subject_headings&gt;Adult; Aged; *Atherosclerosis; Calcium; Cholesterol; Cholesterol, HDL; Cholesterol, LDL; *Coronary Artery Disease/diagnostic imaging; Female; Humans; Male; Middle Aged; Prospective Studies; Risk Factors&lt;/_subject_headings&gt;&lt;_tertiary_title&gt;Circulation. Cardiovascular imaging&lt;/_tertiary_title&gt;&lt;_type_work&gt;Journal Article; Research Support, N.I.H., Extramural; Research Support, Non-U.S. Gov&amp;apos;t&lt;/_type_work&gt;&lt;_url&gt;http://www.ncbi.nlm.nih.gov/entrez/query.fcgi?cmd=Retrieve&amp;amp;db=pubmed&amp;amp;dopt=Abstract&amp;amp;list_uids=35861979&amp;amp;query_hl=1&lt;/_url&gt;&lt;_volume&gt;15&lt;/_volume&gt;&lt;/Details&gt;&lt;Extra&gt;&lt;DBUID&gt;{C4C4CA92-5C76-4191-9E6A-B9554F84DF1D}&lt;/DBUID&gt;&lt;/Extra&gt;&lt;/Item&gt;&lt;/References&gt;&lt;/Group&gt;&lt;/Citation&gt;_x000a_"/>
    <w:docVar w:name="NE.Ref{E5B2A9ED-781D-434C-8EFB-E9E7899F631D}" w:val=" ADDIN NE.Ref.{E5B2A9ED-781D-434C-8EFB-E9E7899F631D}&lt;Citation&gt;&lt;Group&gt;&lt;References&gt;&lt;Item&gt;&lt;ID&gt;72&lt;/ID&gt;&lt;UID&gt;{B3999FBA-8680-46A6-842C-DF11ED00CE09}&lt;/UID&gt;&lt;Title&gt;Risk factors for the progression of coronary artery calcification in asymptomatic subjects: results from the Multi-Ethnic Study of Atherosclerosis (MESA)&lt;/Title&gt;&lt;Template&gt;Journal Article&lt;/Template&gt;&lt;Star&gt;0&lt;/Star&gt;&lt;Tag&gt;0&lt;/Tag&gt;&lt;Author&gt;Kronmal, R A; McClelland, R L; Detrano, R; Shea, S; Lima, J A; Cushman, M; Bild, D E; Burke, G L&lt;/Author&gt;&lt;Year&gt;2007&lt;/Year&gt;&lt;Details&gt;&lt;_accession_num&gt;17502571&lt;/_accession_num&gt;&lt;_author_adr&gt;Department of Biostatistics, University of Washington, 6200 NE 74th St, Seattle,  WA 98115, USA.&lt;/_author_adr&gt;&lt;_collection_scope&gt;SCIE&lt;/_collection_scope&gt;&lt;_created&gt;64955407&lt;/_created&gt;&lt;_date&gt;2007-05-29&lt;/_date&gt;&lt;_date_display&gt;2007 May 29&lt;/_date_display&gt;&lt;_doi&gt;10.1161/CIRCULATIONAHA.106.674143&lt;/_doi&gt;&lt;_impact_factor&gt;  37.800&lt;/_impact_factor&gt;&lt;_isbn&gt;1524-4539 (Electronic); 0009-7322 (Linking)&lt;/_isbn&gt;&lt;_issue&gt;21&lt;/_issue&gt;&lt;_journal&gt;Circulation&lt;/_journal&gt;&lt;_language&gt;English&lt;/_language&gt;&lt;_modified&gt;65594487&lt;/_modified&gt;&lt;_pages&gt;2722-30&lt;/_pages&gt;&lt;_social_category&gt;心脏和心血管系统(1) &amp;amp; 外周血管病(1)&lt;/_social_category&gt;&lt;_subject_headings&gt;Adult; Age Factors; Aged; Aged, 80 and over; Calcinosis/*epidemiology/pathology; Cohort Studies; Coronary Artery Disease/epidemiology/etiology/*pathology; Coronary Vessels/*pathology; Disease Progression; Ethnicity; Female; Humans; Incidence; Male; Middle Aged; Racial Groups; Risk Factors&lt;/_subject_headings&gt;&lt;_tertiary_title&gt;Circulation&lt;/_tertiary_title&gt;&lt;_type_work&gt;Journal Article; Research Support, N.I.H., Extramural&lt;/_type_work&gt;&lt;_url&gt;http://www.ncbi.nlm.nih.gov/entrez/query.fcgi?cmd=Retrieve&amp;amp;db=pubmed&amp;amp;dopt=Abstract&amp;amp;list_uids=17502571&amp;amp;query_hl=1&lt;/_url&gt;&lt;_volume&gt;115&lt;/_volume&gt;&lt;/Details&gt;&lt;Extra&gt;&lt;DBUID&gt;{C4C4CA92-5C76-4191-9E6A-B9554F84DF1D}&lt;/DBUID&gt;&lt;/Extra&gt;&lt;/Item&gt;&lt;/References&gt;&lt;/Group&gt;&lt;/Citation&gt;_x000a_"/>
    <w:docVar w:name="NE.Ref{E8DCAB4E-16B4-4D3E-BEF9-3F17208C5301}" w:val=" ADDIN NE.Ref.{E8DCAB4E-16B4-4D3E-BEF9-3F17208C5301}&lt;Citation&gt;&lt;Group&gt;&lt;References&gt;&lt;Item&gt;&lt;ID&gt;99&lt;/ID&gt;&lt;UID&gt;{D918C8B7-60B9-42F5-BD67-AF53ACC9CF4F}&lt;/UID&gt;&lt;Title&gt;Coronary Calcium: A Comprehensive Understanding of Its Biology, Use in Screening, and Interventional Management&lt;/Title&gt;&lt;Template&gt;Book&lt;/Template&gt;&lt;Star&gt;0&lt;/Star&gt;&lt;Tag&gt;0&lt;/Tag&gt;&lt;Author&gt;Finn, Aloke Virmani&lt;/Author&gt;&lt;Year&gt;2019&lt;/Year&gt;&lt;Details&gt;&lt;_accessed&gt;65054510&lt;/_accessed&gt;&lt;_created&gt;65054510&lt;/_created&gt;&lt;_edition&gt;1&lt;/_edition&gt;&lt;_modified&gt;65054510&lt;/_modified&gt;&lt;_pages&gt;272&lt;/_pages&gt;&lt;_place_published&gt;Amsterdam, Netherlands&lt;/_place_published&gt;&lt;_publisher&gt;Elsevier Science &amp;amp; Technology&lt;/_publisher&gt;&lt;_language&gt;English&lt;/_language&gt;&lt;/Details&gt;&lt;Extra&gt;&lt;DBUID&gt;{C4C4CA92-5C76-4191-9E6A-B9554F84DF1D}&lt;/DBUID&gt;&lt;/Extra&gt;&lt;/Item&gt;&lt;/References&gt;&lt;/Group&gt;&lt;Group&gt;&lt;References&gt;&lt;Item&gt;&lt;ID&gt;48&lt;/ID&gt;&lt;UID&gt;{FCB2957E-E152-487E-805B-69FC816DAEED}&lt;/UID&gt;&lt;Title&gt;Inflammatory, metabolic, and genetic mechanisms of vascular calcification&lt;/Title&gt;&lt;Template&gt;Journal Article&lt;/Template&gt;&lt;Star&gt;0&lt;/Star&gt;&lt;Tag&gt;0&lt;/Tag&gt;&lt;Author&gt;Demer, L L; Tintut, Y&lt;/Author&gt;&lt;Year&gt;2014&lt;/Year&gt;&lt;Details&gt;&lt;_accession_num&gt;24665125&lt;/_accession_num&gt;&lt;_author_adr&gt;From the Departments of Medicine (Cardiology) (L.L.D., Y.T.), Physiology  (L.L.D.), and Bioengineering (L.L.D.), University of California, Los Angeles.&lt;/_author_adr&gt;&lt;_collection_scope&gt;SCIE&lt;/_collection_scope&gt;&lt;_created&gt;64953624&lt;/_created&gt;&lt;_date&gt;2014-04-01&lt;/_date&gt;&lt;_date_display&gt;2014 Apr&lt;/_date_display&gt;&lt;_doi&gt;10.1161/ATVBAHA.113.302070&lt;/_doi&gt;&lt;_impact_factor&gt;   8.700&lt;/_impact_factor&gt;&lt;_isbn&gt;1524-4636 (Electronic); 1079-5642 (Print); 1079-5642 (Linking)&lt;/_isbn&gt;&lt;_issue&gt;4&lt;/_issue&gt;&lt;_journal&gt;Arterioscler Thromb Vasc Biol&lt;/_journal&gt;&lt;_keywords&gt;aortic valve; arteries; heterotopic ossification; vascular calcification&lt;/_keywords&gt;&lt;_language&gt;English&lt;/_language&gt;&lt;_modified&gt;64953624&lt;/_modified&gt;&lt;_pages&gt;715-23&lt;/_pages&gt;&lt;_social_category&gt;血液学(1) &amp;amp; 外周血管病(1)&lt;/_social_category&gt;&lt;_subject_headings&gt;Animals; Blood Vessels/immunology/*metabolism/pathology; Calcification, Physiologic; Genetic Predisposition to Disease; Humans; Inflammation/*complications/immunology/metabolism; Inflammation Mediators/metabolism; Phenotype; Risk Factors; Vascular Calcification/*etiology/genetics/immunology/metabolism/pathology&lt;/_subject_headings&gt;&lt;_tertiary_title&gt;Arteriosclerosis, thrombosis, and vascular biology&lt;/_tertiary_title&gt;&lt;_type_work&gt;Journal Article; Research Support, N.I.H., Extramural; Review&lt;/_type_work&gt;&lt;_url&gt;http://www.ncbi.nlm.nih.gov/entrez/query.fcgi?cmd=Retrieve&amp;amp;db=pubmed&amp;amp;dopt=Abstract&amp;amp;list_uids=24665125&amp;amp;query_hl=1&lt;/_url&gt;&lt;_volume&gt;34&lt;/_volume&gt;&lt;/Details&gt;&lt;Extra&gt;&lt;DBUID&gt;{C4C4CA92-5C76-4191-9E6A-B9554F84DF1D}&lt;/DBUID&gt;&lt;/Extra&gt;&lt;/Item&gt;&lt;/References&gt;&lt;/Group&gt;&lt;/Citation&gt;_x000a_"/>
    <w:docVar w:name="NE.Ref{ED4A39AC-18D8-4EA9-A182-1769169060DD}" w:val=" ADDIN NE.Ref.{ED4A39AC-18D8-4EA9-A182-1769169060DD}&lt;Citation&gt;&lt;Group&gt;&lt;References&gt;&lt;Item&gt;&lt;ID&gt;60&lt;/ID&gt;&lt;UID&gt;{4BBE5833-A0F4-4809-B3BA-A55EE0958CBF}&lt;/UID&gt;&lt;Title&gt;Inflammation in atherosclerosis&lt;/Title&gt;&lt;Template&gt;Journal Article&lt;/Template&gt;&lt;Star&gt;0&lt;/Star&gt;&lt;Tag&gt;0&lt;/Tag&gt;&lt;Author&gt;Libby, P&lt;/Author&gt;&lt;Year&gt;2012&lt;/Year&gt;&lt;Details&gt;&lt;_accession_num&gt;22895665&lt;/_accession_num&gt;&lt;_author_adr&gt;Division of Cardiovascular Medicine, Department of Medicine, Brigham and Women&amp;apos;s  Hospital, Harvard Medical School, 77 Avenue Louis Pasteur, Boston, MA 02115, USA.  plibby@rics.bwh.harvard.edu&lt;/_author_adr&gt;&lt;_collection_scope&gt;SCIE&lt;/_collection_scope&gt;&lt;_created&gt;64955063&lt;/_created&gt;&lt;_date&gt;2012-09-01&lt;/_date&gt;&lt;_date_display&gt;2012 Sep&lt;/_date_display&gt;&lt;_doi&gt;10.1161/ATVBAHA.108.179705&lt;/_doi&gt;&lt;_impact_factor&gt;   8.700&lt;/_impact_factor&gt;&lt;_isbn&gt;1524-4636 (Electronic); 1079-5642 (Print); 1079-5642 (Linking)&lt;/_isbn&gt;&lt;_issue&gt;9&lt;/_issue&gt;&lt;_journal&gt;Arterioscler Thromb Vasc Biol&lt;/_journal&gt;&lt;_language&gt;English&lt;/_language&gt;&lt;_modified&gt;64955063&lt;/_modified&gt;&lt;_pages&gt;2045-51&lt;/_pages&gt;&lt;_social_category&gt;血液学(1) &amp;amp; 外周血管病(1)&lt;/_social_category&gt;&lt;_subject_headings&gt;Adaptive Immunity; Animals; Arteries/*immunology/pathology; Atherosclerosis/*immunology/pathology; Cytokines/metabolism; Graft Rejection/immunology/pathology; Humans; Hyperplasia; Immunity, Innate; Inflammation/*immunology/pathology; Inflammation Mediators/*metabolism; Macrophages/immunology; Plaque, Atherosclerotic; Signal Transduction&lt;/_subject_headings&gt;&lt;_tertiary_title&gt;Arteriosclerosis, thrombosis, and vascular biology&lt;/_tertiary_title&gt;&lt;_type_work&gt;Journal Article; Research Support, N.I.H., Extramural; Research Support, Non-U.S. Gov&amp;apos;t; Review&lt;/_type_work&gt;&lt;_url&gt;http://www.ncbi.nlm.nih.gov/entrez/query.fcgi?cmd=Retrieve&amp;amp;db=pubmed&amp;amp;dopt=Abstract&amp;amp;list_uids=22895665&amp;amp;query_hl=1&lt;/_url&gt;&lt;_volume&gt;32&lt;/_volume&gt;&lt;/Details&gt;&lt;Extra&gt;&lt;DBUID&gt;{C4C4CA92-5C76-4191-9E6A-B9554F84DF1D}&lt;/DBUID&gt;&lt;/Extra&gt;&lt;/Item&gt;&lt;/References&gt;&lt;/Group&gt;&lt;/Citation&gt;_x000a_"/>
    <w:docVar w:name="NE.Ref{EE0971C7-75A0-457E-B5F7-1FCB506E9EE1}" w:val=" ADDIN NE.Ref.{EE0971C7-75A0-457E-B5F7-1FCB506E9EE1}&lt;Citation&gt;&lt;Group&gt;&lt;References&gt;&lt;Item&gt;&lt;ID&gt;98&lt;/ID&gt;&lt;UID&gt;{C6113E6C-D8AD-4AA9-B773-3CDA7FCAD03F}&lt;/UID&gt;&lt;Title&gt;A comparison of HDL and LDL cholesterol for prevalent coronary calcification&lt;/Title&gt;&lt;Template&gt;Journal Article&lt;/Template&gt;&lt;Star&gt;0&lt;/Star&gt;&lt;Tag&gt;0&lt;/Tag&gt;&lt;Author&gt;Allison, M A; Wright, C M&lt;/Author&gt;&lt;Year&gt;2004&lt;/Year&gt;&lt;Details&gt;&lt;_accession_num&gt;15159039&lt;/_accession_num&gt;&lt;_author_adr&gt;University of California at San Diego, 8950 Villa La Jolla Drive, Suite C203, La  Jolla, CA 92037, USA. mallison@ucsd.net&lt;/_author_adr&gt;&lt;_collection_scope&gt;SCIE&lt;/_collection_scope&gt;&lt;_created&gt;65046112&lt;/_created&gt;&lt;_date&gt;2004-05-01&lt;/_date&gt;&lt;_date_display&gt;2004 May&lt;/_date_display&gt;&lt;_doi&gt;10.1016/j.ijcard.2003.04.013&lt;/_doi&gt;&lt;_impact_factor&gt;   3.500&lt;/_impact_factor&gt;&lt;_isbn&gt;0167-5273 (Print); 0167-5273 (Linking)&lt;/_isbn&gt;&lt;_issue&gt;1&lt;/_issue&gt;&lt;_journal&gt;Int J Cardiol&lt;/_journal&gt;&lt;_language&gt;English&lt;/_language&gt;&lt;_modified&gt;65335136&lt;/_modified&gt;&lt;_pages&gt;55-60&lt;/_pages&gt;&lt;_social_category&gt;心脏和心血管系统(3)&lt;/_social_category&gt;&lt;_subject_headings&gt;Aged; Biomarkers/blood; Calcinosis/epidemiology/*metabolism; California/epidemiology; Cardiomyopathies/epidemiology/*metabolism; Cholesterol, HDL/*metabolism; Cholesterol, LDL/*metabolism; Coronary Disease/epidemiology/*metabolism; Female; Humans; Male; Middle Aged; Multivariate Analysis; Predictive Value of Tests; Prevalence; Risk Factors; Statistics as Topic&lt;/_subject_headings&gt;&lt;_tertiary_title&gt;International journal of cardiology&lt;/_tertiary_title&gt;&lt;_type_work&gt;Comparative Study; Evaluation Study; Journal Article; Research Support, U.S. Gov&amp;apos;t, P.H.S.&lt;/_type_work&gt;&lt;_url&gt;http://www.ncbi.nlm.nih.gov/entrez/query.fcgi?cmd=Retrieve&amp;amp;db=pubmed&amp;amp;dopt=Abstract&amp;amp;list_uids=15159039&amp;amp;query_hl=1&lt;/_url&gt;&lt;_volume&gt;95&lt;/_volume&gt;&lt;/Details&gt;&lt;Extra&gt;&lt;DBUID&gt;{C4C4CA92-5C76-4191-9E6A-B9554F84DF1D}&lt;/DBUID&gt;&lt;/Extra&gt;&lt;/Item&gt;&lt;/References&gt;&lt;/Group&gt;&lt;/Citation&gt;_x000a_"/>
    <w:docVar w:name="NE.Ref{F4767EFC-14EF-4E08-A391-0A3F0A962939}" w:val=" ADDIN NE.Ref.{F4767EFC-14EF-4E08-A391-0A3F0A962939}&lt;Citation&gt;&lt;Group&gt;&lt;References&gt;&lt;Item&gt;&lt;ID&gt;96&lt;/ID&gt;&lt;UID&gt;{C0FC2C47-6C56-4605-BD19-C77640AC7539}&lt;/UID&gt;&lt;Title&gt;Renal function is related to severity of coronary artery calcification in elderly persons: the Rotterdam study&lt;/Title&gt;&lt;Template&gt;Journal Article&lt;/Template&gt;&lt;Star&gt;0&lt;/Star&gt;&lt;Tag&gt;0&lt;/Tag&gt;&lt;Author&gt;El, Barzouhi A; Elias-Smale, S; Dehghan, A; Vliegenthart-Proença, R; Oudkerk, M; Hofman, A; Witteman, J C&lt;/Author&gt;&lt;Year&gt;2011&lt;/Year&gt;&lt;Details&gt;&lt;_accession_num&gt;21311747&lt;/_accession_num&gt;&lt;_author_adr&gt;Department of Epidemiology, Erasmus Medical Center, Rotterdam, The Netherlands.  a.barzouhiel@erasmusmc.nl&lt;/_author_adr&gt;&lt;_collection_scope&gt;SCIE&lt;/_collection_scope&gt;&lt;_created&gt;65046088&lt;/_created&gt;&lt;_date&gt;2011-02-02&lt;/_date&gt;&lt;_date_display&gt;2011 Feb 2&lt;/_date_display&gt;&lt;_doi&gt;10.1371/journal.pone.0016738&lt;/_doi&gt;&lt;_impact_factor&gt;   3.700&lt;/_impact_factor&gt;&lt;_isbn&gt;1932-6203 (Electronic); 1932-6203 (Linking)&lt;/_isbn&gt;&lt;_issue&gt;2&lt;/_issue&gt;&lt;_journal&gt;PLoS One&lt;/_journal&gt;&lt;_language&gt;English&lt;/_language&gt;&lt;_modified&gt;65593111&lt;/_modified&gt;&lt;_pages&gt;e16738&lt;/_pages&gt;&lt;_social_category&gt;综合性期刊(3)&lt;/_social_category&gt;&lt;_subject_headings&gt;*Aged; Aged, 80 and over; Calcinosis/epidemiology/etiology/*physiopathology; Coronary Artery Disease/epidemiology/etiology/*physiopathology; Female; Glomerular Filtration Rate; Humans; Kidney/*physiology; Kidney Function Tests; Male; Middle Aged; Netherlands/epidemiology; Population; Risk Factors; Severity of Illness Index&lt;/_subject_headings&gt;&lt;_tertiary_title&gt;PloS one&lt;/_tertiary_title&gt;&lt;_type_work&gt;Journal Article; Research Support, Non-U.S. Gov&amp;apos;t&lt;/_type_work&gt;&lt;_url&gt;http://www.ncbi.nlm.nih.gov/entrez/query.fcgi?cmd=Retrieve&amp;amp;db=pubmed&amp;amp;dopt=Abstract&amp;amp;list_uids=21311747&amp;amp;query_hl=1&lt;/_url&gt;&lt;_volume&gt;6&lt;/_volume&gt;&lt;/Details&gt;&lt;Extra&gt;&lt;DBUID&gt;{C4C4CA92-5C76-4191-9E6A-B9554F84DF1D}&lt;/DBUID&gt;&lt;/Extra&gt;&lt;/Item&gt;&lt;/References&gt;&lt;/Group&gt;&lt;/Citation&gt;_x000a_"/>
    <w:docVar w:name="NE.Ref{F886E16E-0366-4A48-9620-F0D6B2D10940}" w:val=" ADDIN NE.Ref.{F886E16E-0366-4A48-9620-F0D6B2D10940}&lt;Citation&gt;&lt;Group&gt;&lt;References&gt;&lt;Item&gt;&lt;ID&gt;76&lt;/ID&gt;&lt;UID&gt;{99D457DD-F12B-4007-98C7-562DFB2C886D}&lt;/UID&gt;&lt;Title&gt;The Comparison of the Associations of Lipoprotein(a) and the Atherogenic Index of Plasma With Coronary Artery Calcification in Patients Without High LDL-C: A Comparative Analysis&lt;/Title&gt;&lt;Template&gt;Journal Article&lt;/Template&gt;&lt;Star&gt;0&lt;/Star&gt;&lt;Tag&gt;0&lt;/Tag&gt;&lt;Author&gt;Hong, S P; Kim, C Y; Jung, H W&lt;/Author&gt;&lt;Year&gt;2023&lt;/Year&gt;&lt;Details&gt;&lt;_accession_num&gt;37265852&lt;/_accession_num&gt;&lt;_author_adr&gt;Department of Cardiology, Daegu Catholic University Medical Center, Daegu, Korea.; Department of Cardiology, Daegu Catholic University Medical Center, Daegu, Korea.; Department of Cardiology, Daegu Catholic University Medical Center, Daegu, Korea.&lt;/_author_adr&gt;&lt;_created&gt;64982872&lt;/_created&gt;&lt;_date&gt;2023-05-01&lt;/_date&gt;&lt;_date_display&gt;2023 May&lt;/_date_display&gt;&lt;_doi&gt;10.12997/jla.2023.12.2.152&lt;/_doi&gt;&lt;_isbn&gt;2287-2892 (Print); 2288-2561 (Electronic); 2287-2892 (Linking)&lt;/_isbn&gt;&lt;_issue&gt;2&lt;/_issue&gt;&lt;_journal&gt;J Lipid Atheroscler&lt;/_journal&gt;&lt;_keywords&gt;Lipoprotein (a); Low density lipoprotein cholesterol; Vascular calcification&lt;/_keywords&gt;&lt;_language&gt;English&lt;/_language&gt;&lt;_modified&gt;64982873&lt;/_modified&gt;&lt;_ori_publication&gt;Copyright © 2023 The Korean Society of Lipid and Atherosclerosis.&lt;/_ori_publication&gt;&lt;_pages&gt;152-163&lt;/_pages&gt;&lt;_tertiary_title&gt;Journal of lipid and atherosclerosis&lt;/_tertiary_title&gt;&lt;_type_work&gt;Journal Article&lt;/_type_work&gt;&lt;_url&gt;http://www.ncbi.nlm.nih.gov/entrez/query.fcgi?cmd=Retrieve&amp;amp;db=pubmed&amp;amp;dopt=Abstract&amp;amp;list_uids=37265852&amp;amp;query_hl=1&lt;/_url&gt;&lt;_volume&gt;12&lt;/_volume&gt;&lt;/Details&gt;&lt;Extra&gt;&lt;DBUID&gt;{C4C4CA92-5C76-4191-9E6A-B9554F84DF1D}&lt;/DBUID&gt;&lt;/Extra&gt;&lt;/Item&gt;&lt;/References&gt;&lt;/Group&gt;&lt;/Citation&gt;_x000a_"/>
    <w:docVar w:name="ne_build" w:val="16.0.19127"/>
    <w:docVar w:name="ne_os" w:val="Mircrosoft"/>
    <w:docVar w:name="ne_platform" w:val="Word"/>
    <w:docVar w:name="ne_stylename" w:val="Reviews in Cardiovascular Medicine-2024年9月投稿"/>
  </w:docVars>
  <w:rsids>
    <w:rsidRoot w:val="00D6623F"/>
    <w:rsid w:val="00030F30"/>
    <w:rsid w:val="00040D5F"/>
    <w:rsid w:val="00051D67"/>
    <w:rsid w:val="00055D5C"/>
    <w:rsid w:val="00060E59"/>
    <w:rsid w:val="000975E7"/>
    <w:rsid w:val="000B05BB"/>
    <w:rsid w:val="000B5F1B"/>
    <w:rsid w:val="000E434F"/>
    <w:rsid w:val="000F15A8"/>
    <w:rsid w:val="00117EAB"/>
    <w:rsid w:val="00124D99"/>
    <w:rsid w:val="00140778"/>
    <w:rsid w:val="00144D4F"/>
    <w:rsid w:val="00156662"/>
    <w:rsid w:val="00165084"/>
    <w:rsid w:val="001748BB"/>
    <w:rsid w:val="00185343"/>
    <w:rsid w:val="001A3D72"/>
    <w:rsid w:val="001B188A"/>
    <w:rsid w:val="001B301A"/>
    <w:rsid w:val="001B72BD"/>
    <w:rsid w:val="001E580B"/>
    <w:rsid w:val="001F30D5"/>
    <w:rsid w:val="001F333A"/>
    <w:rsid w:val="00205180"/>
    <w:rsid w:val="00215031"/>
    <w:rsid w:val="002166EA"/>
    <w:rsid w:val="00243A7A"/>
    <w:rsid w:val="00254BE5"/>
    <w:rsid w:val="002721A9"/>
    <w:rsid w:val="0029368D"/>
    <w:rsid w:val="00296C7C"/>
    <w:rsid w:val="002C6BF7"/>
    <w:rsid w:val="002E3F4D"/>
    <w:rsid w:val="002F31E8"/>
    <w:rsid w:val="0030312D"/>
    <w:rsid w:val="003238D4"/>
    <w:rsid w:val="0034146D"/>
    <w:rsid w:val="00367DE3"/>
    <w:rsid w:val="0037142D"/>
    <w:rsid w:val="00377145"/>
    <w:rsid w:val="0039384C"/>
    <w:rsid w:val="003A63BE"/>
    <w:rsid w:val="003D5C79"/>
    <w:rsid w:val="003D6C5A"/>
    <w:rsid w:val="003E7E1A"/>
    <w:rsid w:val="003F0059"/>
    <w:rsid w:val="003F573E"/>
    <w:rsid w:val="004054A4"/>
    <w:rsid w:val="00454210"/>
    <w:rsid w:val="00472EFF"/>
    <w:rsid w:val="00497207"/>
    <w:rsid w:val="00497C9B"/>
    <w:rsid w:val="004A71B3"/>
    <w:rsid w:val="004C1453"/>
    <w:rsid w:val="004C161E"/>
    <w:rsid w:val="004C2DE5"/>
    <w:rsid w:val="004D08B3"/>
    <w:rsid w:val="00551BAE"/>
    <w:rsid w:val="005803B6"/>
    <w:rsid w:val="00586A2A"/>
    <w:rsid w:val="00596774"/>
    <w:rsid w:val="00597E48"/>
    <w:rsid w:val="005B2B3D"/>
    <w:rsid w:val="005C2ABB"/>
    <w:rsid w:val="005D55F5"/>
    <w:rsid w:val="005E7F9E"/>
    <w:rsid w:val="005F1009"/>
    <w:rsid w:val="0061355D"/>
    <w:rsid w:val="00613749"/>
    <w:rsid w:val="00632D8A"/>
    <w:rsid w:val="00662CBB"/>
    <w:rsid w:val="006675AD"/>
    <w:rsid w:val="00674711"/>
    <w:rsid w:val="00682037"/>
    <w:rsid w:val="00682A27"/>
    <w:rsid w:val="00685CE5"/>
    <w:rsid w:val="006C07B3"/>
    <w:rsid w:val="006C2FC4"/>
    <w:rsid w:val="006D1AFB"/>
    <w:rsid w:val="006F157B"/>
    <w:rsid w:val="006F46DF"/>
    <w:rsid w:val="00737740"/>
    <w:rsid w:val="00770592"/>
    <w:rsid w:val="00780096"/>
    <w:rsid w:val="0078087B"/>
    <w:rsid w:val="00796D50"/>
    <w:rsid w:val="007A1F14"/>
    <w:rsid w:val="007A3E63"/>
    <w:rsid w:val="007C6CD4"/>
    <w:rsid w:val="0080166F"/>
    <w:rsid w:val="00816C61"/>
    <w:rsid w:val="008433AF"/>
    <w:rsid w:val="00856A36"/>
    <w:rsid w:val="00875BA1"/>
    <w:rsid w:val="00876361"/>
    <w:rsid w:val="008930C6"/>
    <w:rsid w:val="008A049E"/>
    <w:rsid w:val="008B5303"/>
    <w:rsid w:val="008C43C4"/>
    <w:rsid w:val="008E6849"/>
    <w:rsid w:val="008E724F"/>
    <w:rsid w:val="008F07DB"/>
    <w:rsid w:val="008F0F8E"/>
    <w:rsid w:val="00921315"/>
    <w:rsid w:val="00950154"/>
    <w:rsid w:val="009504D4"/>
    <w:rsid w:val="00957BD7"/>
    <w:rsid w:val="009713D1"/>
    <w:rsid w:val="0097322C"/>
    <w:rsid w:val="00976207"/>
    <w:rsid w:val="00980D9B"/>
    <w:rsid w:val="00984B15"/>
    <w:rsid w:val="009961DA"/>
    <w:rsid w:val="009B1B9F"/>
    <w:rsid w:val="009C439B"/>
    <w:rsid w:val="00A06759"/>
    <w:rsid w:val="00A44471"/>
    <w:rsid w:val="00A471ED"/>
    <w:rsid w:val="00A66718"/>
    <w:rsid w:val="00A67675"/>
    <w:rsid w:val="00A7059D"/>
    <w:rsid w:val="00A75D8E"/>
    <w:rsid w:val="00A84DF5"/>
    <w:rsid w:val="00A90F48"/>
    <w:rsid w:val="00AA218B"/>
    <w:rsid w:val="00AA7FCC"/>
    <w:rsid w:val="00AC2493"/>
    <w:rsid w:val="00B01D76"/>
    <w:rsid w:val="00B34253"/>
    <w:rsid w:val="00B41D7B"/>
    <w:rsid w:val="00B46A95"/>
    <w:rsid w:val="00B500DD"/>
    <w:rsid w:val="00B651C7"/>
    <w:rsid w:val="00B65A64"/>
    <w:rsid w:val="00B71681"/>
    <w:rsid w:val="00B85F16"/>
    <w:rsid w:val="00BB4BDF"/>
    <w:rsid w:val="00BC5142"/>
    <w:rsid w:val="00BF1DF4"/>
    <w:rsid w:val="00C27562"/>
    <w:rsid w:val="00C31131"/>
    <w:rsid w:val="00C332D1"/>
    <w:rsid w:val="00C46553"/>
    <w:rsid w:val="00C56060"/>
    <w:rsid w:val="00C5747C"/>
    <w:rsid w:val="00C66C03"/>
    <w:rsid w:val="00C85C16"/>
    <w:rsid w:val="00C976F0"/>
    <w:rsid w:val="00CB5DF0"/>
    <w:rsid w:val="00CD3825"/>
    <w:rsid w:val="00CD66E6"/>
    <w:rsid w:val="00CE0AAC"/>
    <w:rsid w:val="00CE0FCA"/>
    <w:rsid w:val="00CE5621"/>
    <w:rsid w:val="00CE5D67"/>
    <w:rsid w:val="00D123E4"/>
    <w:rsid w:val="00D1705E"/>
    <w:rsid w:val="00D35EAB"/>
    <w:rsid w:val="00D4365C"/>
    <w:rsid w:val="00D50519"/>
    <w:rsid w:val="00D6623F"/>
    <w:rsid w:val="00DB5366"/>
    <w:rsid w:val="00DC0F4C"/>
    <w:rsid w:val="00DF2C2F"/>
    <w:rsid w:val="00DF4B4E"/>
    <w:rsid w:val="00E01645"/>
    <w:rsid w:val="00E02548"/>
    <w:rsid w:val="00E14859"/>
    <w:rsid w:val="00E279D4"/>
    <w:rsid w:val="00E31F72"/>
    <w:rsid w:val="00E8505E"/>
    <w:rsid w:val="00E9779C"/>
    <w:rsid w:val="00EB471E"/>
    <w:rsid w:val="00ED1F7F"/>
    <w:rsid w:val="00ED7B88"/>
    <w:rsid w:val="00EE794F"/>
    <w:rsid w:val="00F07183"/>
    <w:rsid w:val="00F314C1"/>
    <w:rsid w:val="00F50095"/>
    <w:rsid w:val="00F6033D"/>
    <w:rsid w:val="00F816FA"/>
    <w:rsid w:val="00F91F95"/>
    <w:rsid w:val="00F94169"/>
    <w:rsid w:val="00FA70F6"/>
    <w:rsid w:val="00FA7F99"/>
    <w:rsid w:val="20A03A95"/>
    <w:rsid w:val="514B7368"/>
    <w:rsid w:val="5A6244BB"/>
    <w:rsid w:val="5AAD1891"/>
    <w:rsid w:val="6A07430A"/>
    <w:rsid w:val="7F0C6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96A406-3FD3-4237-9DE7-99A0773F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styleId="a7">
    <w:name w:val="line number"/>
    <w:basedOn w:val="a0"/>
    <w:uiPriority w:val="99"/>
    <w:semiHidden/>
    <w:unhideWhenUsed/>
    <w:qFormat/>
  </w:style>
  <w:style w:type="character" w:styleId="a8">
    <w:name w:val="Hyperlink"/>
    <w:basedOn w:val="a0"/>
    <w:uiPriority w:val="99"/>
    <w:unhideWhenUsed/>
    <w:qFormat/>
    <w:rPr>
      <w:color w:val="0563C1" w:themeColor="hyperlink"/>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9">
    <w:name w:val="List Paragraph"/>
    <w:basedOn w:val="a"/>
    <w:uiPriority w:val="34"/>
    <w:qFormat/>
    <w:pPr>
      <w:ind w:firstLineChars="200" w:firstLine="420"/>
    </w:pPr>
  </w:style>
  <w:style w:type="paragraph" w:customStyle="1" w:styleId="1">
    <w:name w:val="修订1"/>
    <w:hidden/>
    <w:uiPriority w:val="99"/>
    <w:semiHidden/>
    <w:qFormat/>
    <w:rPr>
      <w:kern w:val="2"/>
      <w:sz w:val="21"/>
      <w:szCs w:val="22"/>
    </w:rPr>
  </w:style>
  <w:style w:type="paragraph" w:customStyle="1" w:styleId="Tablecaption">
    <w:name w:val="Table caption"/>
    <w:uiPriority w:val="11"/>
    <w:qFormat/>
    <w:pPr>
      <w:adjustRightInd w:val="0"/>
      <w:snapToGrid w:val="0"/>
      <w:spacing w:beforeLines="100" w:before="100" w:afterLines="100" w:after="100"/>
      <w:jc w:val="center"/>
    </w:pPr>
    <w:rPr>
      <w:rFonts w:ascii="Times New Roman" w:eastAsia="Times New Roman" w:hAnsi="Times New Roman" w:cs="Times New Roman"/>
      <w:b/>
      <w:color w:val="000000"/>
      <w:sz w:val="21"/>
      <w:szCs w:val="24"/>
      <w:lang w:bidi="en-US"/>
    </w:rPr>
  </w:style>
  <w:style w:type="paragraph" w:customStyle="1" w:styleId="Tablebody">
    <w:name w:val="Table body"/>
    <w:uiPriority w:val="11"/>
    <w:qFormat/>
    <w:pPr>
      <w:jc w:val="both"/>
    </w:pPr>
    <w:rPr>
      <w:rFonts w:ascii="Times New Roman" w:eastAsia="Times New Roman" w:hAnsi="Times New Roman" w:cs="Times New Roman"/>
      <w:snapToGrid w:val="0"/>
      <w:color w:val="000000"/>
      <w:sz w:val="21"/>
      <w:szCs w:val="21"/>
      <w:lang w:eastAsia="de-DE" w:bidi="en-US"/>
    </w:rPr>
  </w:style>
  <w:style w:type="paragraph" w:customStyle="1" w:styleId="Tablefooter">
    <w:name w:val="Table footer"/>
    <w:next w:val="a"/>
    <w:uiPriority w:val="12"/>
    <w:qFormat/>
    <w:pPr>
      <w:jc w:val="both"/>
    </w:pPr>
    <w:rPr>
      <w:rFonts w:ascii="Times New Roman" w:eastAsia="Times New Roman" w:hAnsi="Times New Roman" w:cs="Times New Roman"/>
      <w:color w:val="000000"/>
      <w:sz w:val="21"/>
      <w:szCs w:val="21"/>
      <w:lang w:eastAsia="de-DE" w:bidi="en-US"/>
    </w:rPr>
  </w:style>
  <w:style w:type="paragraph" w:styleId="aa">
    <w:name w:val="Balloon Text"/>
    <w:basedOn w:val="a"/>
    <w:link w:val="ab"/>
    <w:uiPriority w:val="99"/>
    <w:semiHidden/>
    <w:unhideWhenUsed/>
    <w:rsid w:val="00682037"/>
    <w:rPr>
      <w:sz w:val="18"/>
      <w:szCs w:val="18"/>
    </w:rPr>
  </w:style>
  <w:style w:type="character" w:customStyle="1" w:styleId="ab">
    <w:name w:val="批注框文本 字符"/>
    <w:basedOn w:val="a0"/>
    <w:link w:val="aa"/>
    <w:uiPriority w:val="99"/>
    <w:semiHidden/>
    <w:rsid w:val="0068203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750B8-1A6B-4CF0-8B7A-F31F7E8B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4201</Words>
  <Characters>24723</Characters>
  <Application>Microsoft Office Word</Application>
  <DocSecurity>0</DocSecurity>
  <Lines>206</Lines>
  <Paragraphs>57</Paragraphs>
  <ScaleCrop>false</ScaleCrop>
  <Company/>
  <LinksUpToDate>false</LinksUpToDate>
  <CharactersWithSpaces>28867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 Season</dc:creator>
  <dc:description>NE.Bib</dc:description>
  <cp:lastModifiedBy>Sarah Teoh</cp:lastModifiedBy>
  <cp:revision>94</cp:revision>
  <dcterms:created xsi:type="dcterms:W3CDTF">2026-05-07T14:17:00Z</dcterms:created>
  <dcterms:modified xsi:type="dcterms:W3CDTF">2026-06-01T07:07:00Z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4571903F377F498AB596826E4151E8D6_13</vt:lpwstr>
  </property>
  <property fmtid="{D5CDD505-2E9C-101B-9397-08002B2CF9AE}" pid="4" name="KSOTemplateDocerSaveRecord">
    <vt:lpwstr>eyJoZGlkIjoiMmMzMjEwYTVjZGRhNjI0ZTdhNmYwYTZmZjEwNmE5ODAiLCJ1c2VySWQiOiIxMTQ5NzcxMzY1In0=</vt:lpwstr>
  </property>
</Properties>
</file>